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b/>
          <w:color w:val="096BC1"/>
          <w:sz w:val="16"/>
        </w:rPr>
        <w:t>SOP TEMPLATE  /  VERSION 1.1</w:t>
      </w:r>
    </w:p>
    <w:p>
      <w:pPr>
        <w:pStyle w:val="Title"/>
      </w:pPr>
      <w:r>
        <w:t>Service Supplies Replenishment SOP</w:t>
      </w:r>
    </w:p>
    <w:p>
      <w:r>
        <w:t>Count usable supplies, resolve discrepancies, and place an approved replenishment request before the next job.</w:t>
      </w:r>
    </w:p>
    <w:p>
      <w:r>
        <w:rPr>
          <w:color w:val="526174"/>
          <w:sz w:val="17"/>
        </w:rPr>
        <w:t>Library resource updated 2026-10-28. Assign your own approved document version and effective date.</w:t>
      </w:r>
    </w:p>
    <w:p>
      <w:pPr>
        <w:pStyle w:val="Heading1"/>
      </w:pPr>
      <w:r>
        <w:t>Document control</w:t>
      </w:r>
    </w:p>
    <w:p>
      <w:pPr>
        <w:spacing w:after="80"/>
      </w:pPr>
      <w:r>
        <w:rPr>
          <w:b/>
        </w:rPr>
        <w:t xml:space="preserve">Organization and site  </w:t>
      </w:r>
      <w:r>
        <w:t>____________________________________________</w:t>
      </w:r>
    </w:p>
    <w:p>
      <w:pPr>
        <w:spacing w:after="80"/>
      </w:pPr>
      <w:r>
        <w:rPr>
          <w:b/>
        </w:rPr>
        <w:t xml:space="preserve">Document ID and approved version  </w:t>
      </w:r>
      <w:r>
        <w:t>________________________    Effective date ______________</w:t>
      </w:r>
    </w:p>
    <w:p>
      <w:pPr>
        <w:spacing w:after="80"/>
      </w:pPr>
      <w:r>
        <w:rPr>
          <w:b/>
        </w:rPr>
        <w:t xml:space="preserve">Process owner  </w:t>
      </w:r>
      <w:r>
        <w:t>Stock coordinator    Assigned person __________________</w:t>
      </w:r>
    </w:p>
    <w:p>
      <w:pPr>
        <w:spacing w:after="80"/>
      </w:pPr>
      <w:r>
        <w:rPr>
          <w:b/>
        </w:rPr>
        <w:t xml:space="preserve">Reviewer and approver  </w:t>
      </w:r>
      <w:r>
        <w:t>________________________    Next review ______________</w:t>
      </w:r>
    </w:p>
    <w:p>
      <w:pPr>
        <w:pStyle w:val="Heading1"/>
      </w:pPr>
      <w:r>
        <w:t>Purpose and boundary</w:t>
      </w:r>
    </w:p>
    <w:p>
      <w:r>
        <w:t>Keep a service team’s routine consumables available without treating damaged, reserved or unavailable stock as usable inventory.</w:t>
      </w:r>
    </w:p>
    <w:p>
      <w:r>
        <w:t>From a scheduled count to a verified replenishment record for ordinary service consumables. Excludes hazardous-material handling, controlled stock, procurement contracts and regulated inventory rules.</w:t>
      </w:r>
    </w:p>
    <w:p>
      <w:pPr>
        <w:pStyle w:val="Heading1"/>
      </w:pPr>
      <w:r>
        <w:t>Responsibilities and preparation</w:t>
      </w:r>
    </w:p>
    <w:p>
      <w:pPr>
        <w:pStyle w:val="ListBullet"/>
      </w:pPr>
      <w:r>
        <w:t>Team lead: reports next-job requirements and shortages.</w:t>
      </w:r>
    </w:p>
    <w:p>
      <w:pPr>
        <w:pStyle w:val="ListBullet"/>
      </w:pPr>
      <w:r>
        <w:t>Counter: checks usable quantities and records discrepancies.</w:t>
      </w:r>
    </w:p>
    <w:p>
      <w:pPr>
        <w:pStyle w:val="ListBullet"/>
      </w:pPr>
      <w:r>
        <w:t>Purchasing approver: authorizes orders within agreed limits.</w:t>
      </w:r>
    </w:p>
    <w:p>
      <w:r>
        <w:rPr>
          <w:b/>
        </w:rPr>
        <w:t xml:space="preserve">Have ready </w:t>
      </w:r>
      <w:r>
        <w:t>Approved item list with units and minimum levels; Stock record and reserved-quantity list; Approved supplier list and purchase request</w:t>
      </w:r>
    </w:p>
    <w:p>
      <w:pPr>
        <w:pStyle w:val="Heading1"/>
      </w:pPr>
      <w:r>
        <w:t>Adapt before use</w:t>
      </w:r>
    </w:p>
    <w:p>
      <w:pPr>
        <w:pStyle w:val="ListBullet"/>
      </w:pPr>
      <w:r>
        <w:t>Set minimum and target quantities for each item and unit.</w:t>
      </w:r>
    </w:p>
    <w:p>
      <w:pPr>
        <w:pStyle w:val="ListBullet"/>
      </w:pPr>
      <w:r>
        <w:t>Define reorder timing based on actual usage and delivery lead time.</w:t>
      </w:r>
    </w:p>
    <w:p>
      <w:pPr>
        <w:pStyle w:val="ListBullet"/>
      </w:pPr>
      <w:r>
        <w:t>Specify approval limits, approved substitutes and storage conditions.</w:t>
      </w:r>
    </w:p>
    <w:p>
      <w:pPr>
        <w:pStyle w:val="ListBullet"/>
      </w:pPr>
      <w:r>
        <w:t>Choose a discrepancy threshold that requires a recount.</w:t>
      </w:r>
    </w:p>
    <w:p>
      <w:r>
        <w:rPr>
          <w:color w:val="526174"/>
          <w:sz w:val="17"/>
        </w:rPr>
        <w:t>Pilot the adapted method with authorized personnel. Resolve gaps and record approval before independent use. This resource is not a certification or technical authorization.</w:t>
      </w:r>
    </w:p>
    <w:p>
      <w:pPr>
        <w:pStyle w:val="Heading1"/>
      </w:pPr>
      <w:r>
        <w:t>Worked example</w:t>
      </w:r>
    </w:p>
    <w:p>
      <w:r>
        <w:t>Example only: A team holds 18 usable packs, of which 6 are reserved. Another 10 approved packs are due before the next job. With a target of 30 available packs, the coordinator verifies the incoming order and requests 8 additional packs, subject to the organization’s approved replenishment rule.</w:t>
      </w:r>
    </w:p>
    <w:p>
      <w:r>
        <w:br w:type="page"/>
      </w:r>
    </w:p>
    <w:p>
      <w:pPr>
        <w:spacing w:after="100"/>
      </w:pPr>
      <w:r>
        <w:rPr>
          <w:b/>
          <w:color w:val="096BC1"/>
          <w:sz w:val="16"/>
        </w:rPr>
        <w:t>METHOD  /  FIRST ACTIONS</w:t>
      </w:r>
    </w:p>
    <w:p>
      <w:pPr>
        <w:pStyle w:val="Heading1"/>
      </w:pPr>
      <w:r>
        <w:t>Procedure steps 1 to 4</w:t>
      </w:r>
    </w:p>
    <w:p>
      <w:pPr>
        <w:pStyle w:val="Heading2"/>
      </w:pPr>
      <w:r>
        <w:rPr>
          <w:b/>
          <w:color w:val="096BC1"/>
          <w:sz w:val="30"/>
        </w:rPr>
        <w:t xml:space="preserve">01  </w:t>
      </w:r>
      <w:r>
        <w:t>Check the upcoming demand</w:t>
      </w:r>
    </w:p>
    <w:p>
      <w:r>
        <w:t>Review scheduled work, current reservations and known deliveries. Use the approved item list rather than a remembered shopping list.</w:t>
      </w:r>
    </w:p>
    <w:p>
      <w:pPr>
        <w:spacing w:after="60"/>
      </w:pPr>
      <w:r>
        <w:rPr>
          <w:b/>
        </w:rPr>
        <w:t xml:space="preserve">Acceptance check: </w:t>
      </w:r>
      <w:r>
        <w:t>Upcoming requirements use the same item units as the stock record.</w:t>
      </w:r>
    </w:p>
    <w:p>
      <w:pPr>
        <w:spacing w:after="180"/>
      </w:pPr>
      <w:r>
        <w:rPr>
          <w:b/>
        </w:rPr>
        <w:t xml:space="preserve">Record: </w:t>
      </w:r>
      <w:r>
        <w:t>Job demand, reserved quantity and expected delivery.</w:t>
      </w:r>
    </w:p>
    <w:p>
      <w:pPr>
        <w:pStyle w:val="Heading2"/>
      </w:pPr>
      <w:r>
        <w:rPr>
          <w:b/>
          <w:color w:val="096BC1"/>
          <w:sz w:val="30"/>
        </w:rPr>
        <w:t xml:space="preserve">02  </w:t>
      </w:r>
      <w:r>
        <w:t>Count usable stock</w:t>
      </w:r>
    </w:p>
    <w:p>
      <w:r>
        <w:t>Count the item in its stated unit. Separate damaged, expired where applicable, quarantined and already reserved quantities from usable stock. Follow item-specific handling instructions.</w:t>
      </w:r>
    </w:p>
    <w:p>
      <w:pPr>
        <w:spacing w:after="60"/>
      </w:pPr>
      <w:r>
        <w:rPr>
          <w:b/>
        </w:rPr>
        <w:t xml:space="preserve">Acceptance check: </w:t>
      </w:r>
      <w:r>
        <w:t>Usable stock is distinct from physical stock that cannot be issued.</w:t>
      </w:r>
    </w:p>
    <w:p>
      <w:pPr>
        <w:spacing w:after="180"/>
      </w:pPr>
      <w:r>
        <w:rPr>
          <w:b/>
        </w:rPr>
        <w:t xml:space="preserve">Record: </w:t>
      </w:r>
      <w:r>
        <w:t>Physical count, unusable quantity and available quantity.</w:t>
      </w:r>
    </w:p>
    <w:p>
      <w:pPr>
        <w:pStyle w:val="Heading2"/>
      </w:pPr>
      <w:r>
        <w:rPr>
          <w:b/>
          <w:color w:val="096BC1"/>
          <w:sz w:val="30"/>
        </w:rPr>
        <w:t xml:space="preserve">03  </w:t>
      </w:r>
      <w:r>
        <w:t>Reconcile differences</w:t>
      </w:r>
    </w:p>
    <w:p>
      <w:r>
        <w:t>Compare the count with the stock record. Recount unexpected differences and check recent issues or receipts before changing the balance.</w:t>
      </w:r>
    </w:p>
    <w:p>
      <w:pPr>
        <w:spacing w:after="60"/>
      </w:pPr>
      <w:r>
        <w:rPr>
          <w:b/>
        </w:rPr>
        <w:t xml:space="preserve">Acceptance check: </w:t>
      </w:r>
      <w:r>
        <w:t>Any adjustment has a reason and the required approval.</w:t>
      </w:r>
    </w:p>
    <w:p>
      <w:pPr>
        <w:spacing w:after="180"/>
      </w:pPr>
      <w:r>
        <w:rPr>
          <w:b/>
        </w:rPr>
        <w:t xml:space="preserve">Record: </w:t>
      </w:r>
      <w:r>
        <w:t>Difference, recount result and adjustment reference.</w:t>
      </w:r>
    </w:p>
    <w:p>
      <w:pPr>
        <w:pStyle w:val="Heading2"/>
      </w:pPr>
      <w:r>
        <w:rPr>
          <w:b/>
          <w:color w:val="096BC1"/>
          <w:sz w:val="30"/>
        </w:rPr>
        <w:t xml:space="preserve">04  </w:t>
      </w:r>
      <w:r>
        <w:t>Calculate replenishment need</w:t>
      </w:r>
    </w:p>
    <w:p>
      <w:r>
        <w:t>Apply the approved target and reorder method. Check pack sizes and incoming deliveries to avoid ordering the same shortage twice.</w:t>
      </w:r>
    </w:p>
    <w:p>
      <w:pPr>
        <w:spacing w:after="60"/>
      </w:pPr>
      <w:r>
        <w:rPr>
          <w:b/>
        </w:rPr>
        <w:t xml:space="preserve">Acceptance check: </w:t>
      </w:r>
      <w:r>
        <w:t>Requested quantity has a traceable calculation and unit.</w:t>
      </w:r>
    </w:p>
    <w:p>
      <w:pPr>
        <w:spacing w:after="180"/>
      </w:pPr>
      <w:r>
        <w:rPr>
          <w:b/>
        </w:rPr>
        <w:t xml:space="preserve">Record: </w:t>
      </w:r>
      <w:r>
        <w:t>Target, available stock, incoming quantity and request quantity.</w:t>
      </w:r>
    </w:p>
    <w:p>
      <w:r>
        <w:br w:type="page"/>
      </w:r>
    </w:p>
    <w:p>
      <w:pPr>
        <w:spacing w:after="100"/>
      </w:pPr>
      <w:r>
        <w:rPr>
          <w:b/>
          <w:color w:val="096BC1"/>
          <w:sz w:val="16"/>
        </w:rPr>
        <w:t>METHOD  /  COMPLETION AND EXCEPTIONS</w:t>
      </w:r>
    </w:p>
    <w:p>
      <w:pPr>
        <w:pStyle w:val="Heading1"/>
      </w:pPr>
      <w:r>
        <w:t>Complete the procedure</w:t>
      </w:r>
    </w:p>
    <w:p>
      <w:pPr>
        <w:pStyle w:val="Heading2"/>
      </w:pPr>
      <w:r>
        <w:rPr>
          <w:b/>
          <w:color w:val="096BC1"/>
          <w:sz w:val="30"/>
        </w:rPr>
        <w:t xml:space="preserve">05  </w:t>
      </w:r>
      <w:r>
        <w:t>Approve the request</w:t>
      </w:r>
    </w:p>
    <w:p>
      <w:r>
        <w:t>Send items, quantities and need-by dates to the authorized approver. Use only approved substitutions; escalate shortages that threaten a scheduled job.</w:t>
      </w:r>
    </w:p>
    <w:p>
      <w:pPr>
        <w:spacing w:after="60"/>
      </w:pPr>
      <w:r>
        <w:rPr>
          <w:b/>
        </w:rPr>
        <w:t xml:space="preserve">Acceptance check: </w:t>
      </w:r>
      <w:r>
        <w:t>Order is approved within limits or remains explicitly pending.</w:t>
      </w:r>
    </w:p>
    <w:p>
      <w:pPr>
        <w:spacing w:after="180"/>
      </w:pPr>
      <w:r>
        <w:rPr>
          <w:b/>
        </w:rPr>
        <w:t xml:space="preserve">Record: </w:t>
      </w:r>
      <w:r>
        <w:t>Approval, supplier and expected delivery.</w:t>
      </w:r>
    </w:p>
    <w:p>
      <w:pPr>
        <w:pStyle w:val="Heading2"/>
      </w:pPr>
      <w:r>
        <w:rPr>
          <w:b/>
          <w:color w:val="096BC1"/>
          <w:sz w:val="30"/>
        </w:rPr>
        <w:t xml:space="preserve">06  </w:t>
      </w:r>
      <w:r>
        <w:t>Verify the delivery</w:t>
      </w:r>
    </w:p>
    <w:p>
      <w:r>
        <w:t>Match received items and quantities to the approved order. Isolate incorrect or damaged items using the site process; do not mark them usable.</w:t>
      </w:r>
    </w:p>
    <w:p>
      <w:pPr>
        <w:spacing w:after="60"/>
      </w:pPr>
      <w:r>
        <w:rPr>
          <w:b/>
        </w:rPr>
        <w:t xml:space="preserve">Acceptance check: </w:t>
      </w:r>
      <w:r>
        <w:t>Only accepted quantities enter usable stock.</w:t>
      </w:r>
    </w:p>
    <w:p>
      <w:pPr>
        <w:spacing w:after="180"/>
      </w:pPr>
      <w:r>
        <w:rPr>
          <w:b/>
        </w:rPr>
        <w:t xml:space="preserve">Record: </w:t>
      </w:r>
      <w:r>
        <w:t>Received quantity, discrepancies and receipt reference.</w:t>
      </w:r>
    </w:p>
    <w:p>
      <w:pPr>
        <w:pStyle w:val="Heading2"/>
      </w:pPr>
      <w:r>
        <w:rPr>
          <w:b/>
          <w:color w:val="096BC1"/>
          <w:sz w:val="30"/>
        </w:rPr>
        <w:t xml:space="preserve">07  </w:t>
      </w:r>
      <w:r>
        <w:t>Update and notify</w:t>
      </w:r>
    </w:p>
    <w:p>
      <w:r>
        <w:t>Update balances and reservations, then tell the team lead whether upcoming jobs are covered. Give unresolved shortages an owner and next update.</w:t>
      </w:r>
    </w:p>
    <w:p>
      <w:pPr>
        <w:spacing w:after="60"/>
      </w:pPr>
      <w:r>
        <w:rPr>
          <w:b/>
        </w:rPr>
        <w:t xml:space="preserve">Acceptance check: </w:t>
      </w:r>
      <w:r>
        <w:t>Stock record and operational plan reflect actual availability.</w:t>
      </w:r>
    </w:p>
    <w:p>
      <w:pPr>
        <w:spacing w:after="180"/>
      </w:pPr>
      <w:r>
        <w:rPr>
          <w:b/>
        </w:rPr>
        <w:t xml:space="preserve">Record: </w:t>
      </w:r>
      <w:r>
        <w:t>Updated balance, open shortage and owner.</w:t>
      </w:r>
    </w:p>
    <w:p>
      <w:pPr>
        <w:pStyle w:val="Heading1"/>
      </w:pPr>
      <w:r>
        <w:t>Exceptions and escalation</w:t>
      </w:r>
    </w:p>
    <w:p>
      <w:pPr>
        <w:keepNext/>
      </w:pPr>
      <w:r>
        <w:rPr>
          <w:b/>
          <w:color w:val="C75B24"/>
        </w:rPr>
        <w:t>Unit mismatch such as boxes versus individual pieces</w:t>
      </w:r>
    </w:p>
    <w:p>
      <w:r>
        <w:t>Stop the calculation and agree a conversion on the approved item record before ordering.</w:t>
      </w:r>
    </w:p>
    <w:p>
      <w:pPr>
        <w:keepNext/>
      </w:pPr>
      <w:r>
        <w:rPr>
          <w:b/>
          <w:color w:val="C75B24"/>
        </w:rPr>
        <w:t>Supplier proposes a substitute</w:t>
      </w:r>
    </w:p>
    <w:p>
      <w:r>
        <w:t>Request the designated approval; do not assume products or equipment are interchangeable.</w:t>
      </w:r>
    </w:p>
    <w:p>
      <w:pPr>
        <w:keepNext/>
      </w:pPr>
      <w:r>
        <w:rPr>
          <w:b/>
          <w:color w:val="C75B24"/>
        </w:rPr>
        <w:t>Delivery is late</w:t>
      </w:r>
    </w:p>
    <w:p>
      <w:r>
        <w:t>Notify the team lead, assign the shortage owner and use the approved contingency for affected jobs.</w:t>
      </w:r>
    </w:p>
    <w:p>
      <w:r>
        <w:br w:type="page"/>
      </w:r>
    </w:p>
    <w:p>
      <w:pPr>
        <w:spacing w:after="100"/>
      </w:pPr>
      <w:r>
        <w:rPr>
          <w:b/>
          <w:color w:val="096BC1"/>
          <w:sz w:val="16"/>
        </w:rPr>
        <w:t>WORKING RECORD  /  ADAPT TO YOUR SYSTEM</w:t>
      </w:r>
    </w:p>
    <w:p>
      <w:pPr>
        <w:pStyle w:val="Heading1"/>
      </w:pPr>
      <w:r>
        <w:t>Working record and review</w:t>
      </w:r>
    </w:p>
    <w:p>
      <w:r>
        <w:rPr>
          <w:color w:val="526174"/>
          <w:sz w:val="17"/>
        </w:rPr>
        <w:t>Complete this record for an actual use. Keep supporting evidence in your approved system; exclude passwords, access codes and unnecessary personal details.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FE6"/>
          <w:left w:val="single" w:sz="4" w:color="D9DFE6"/>
          <w:bottom w:val="single" w:sz="4" w:color="D9DFE6"/>
          <w:right w:val="single" w:sz="4" w:color="D9DFE6"/>
          <w:insideH w:val="single" w:sz="4" w:color="D9DFE6"/>
          <w:insideV w:val="single" w:sz="4" w:color="D9DFE6"/>
        </w:tblBorders>
        <w:tblCellMar>
          <w:top w:w="90" w:type="dxa"/>
          <w:bottom w:w="90" w:type="dxa"/>
          <w:left w:w="110" w:type="dxa"/>
          <w:right w:w="110" w:type="dxa"/>
        </w:tblCellMar>
      </w:tblPr>
      <w:tblGrid>
        <w:gridCol w:w="3672"/>
        <w:gridCol w:w="6552"/>
      </w:tblGrid>
      <w:tr>
        <w:trPr>
          <w:tblHeader/>
        </w:trPr>
        <w:tc>
          <w:tcPr>
            <w:tcW w:type="dxa" w:w="5112"/>
            <w:shd w:fill="122238"/>
          </w:tcPr>
          <w:p>
            <w:r>
              <w:rPr>
                <w:b/>
                <w:color w:val="FFFFFF"/>
                <w:sz w:val="17"/>
              </w:rPr>
              <w:t>RECORD FIELD</w:t>
            </w:r>
          </w:p>
        </w:tc>
        <w:tc>
          <w:tcPr>
            <w:tcW w:type="dxa" w:w="5112"/>
            <w:shd w:fill="122238"/>
          </w:tcPr>
          <w:p>
            <w:r>
              <w:rPr>
                <w:b/>
                <w:color w:val="FFFFFF"/>
                <w:sz w:val="17"/>
              </w:rPr>
              <w:t>ENTRY</w:t>
            </w:r>
          </w:p>
        </w:tc>
      </w:tr>
      <w:tr>
        <w:trPr>
          <w:trHeight w:val="518" w:hRule="atLeast"/>
        </w:trPr>
        <w:tc>
          <w:tcPr>
            <w:tcW w:type="dxa" w:w="3672"/>
            <w:vAlign w:val="center"/>
          </w:tcPr>
          <w:p>
            <w:pPr>
              <w:spacing w:after="20"/>
            </w:pPr>
            <w:r>
              <w:rPr>
                <w:color w:val="122238"/>
                <w:sz w:val="19"/>
              </w:rPr>
              <w:t>Job or session reference</w:t>
            </w:r>
          </w:p>
        </w:tc>
        <w:tc>
          <w:tcPr>
            <w:tcW w:type="dxa" w:w="6552"/>
            <w:vAlign w:val="center"/>
          </w:tcPr>
          <w:p>
            <w:pPr>
              <w:spacing w:after="20"/>
            </w:pPr>
            <w:r>
              <w:rPr>
                <w:color w:val="122238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3672"/>
            <w:vAlign w:val="center"/>
            <w:shd w:fill="F4F7FA"/>
          </w:tcPr>
          <w:p>
            <w:pPr>
              <w:spacing w:after="20"/>
            </w:pPr>
            <w:r>
              <w:rPr>
                <w:color w:val="122238"/>
                <w:sz w:val="19"/>
              </w:rPr>
              <w:t>Date and location</w:t>
            </w:r>
          </w:p>
        </w:tc>
        <w:tc>
          <w:tcPr>
            <w:tcW w:type="dxa" w:w="6552"/>
            <w:vAlign w:val="center"/>
            <w:shd w:fill="F4F7FA"/>
          </w:tcPr>
          <w:p>
            <w:pPr>
              <w:spacing w:after="20"/>
            </w:pPr>
            <w:r>
              <w:rPr>
                <w:color w:val="122238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3672"/>
            <w:vAlign w:val="center"/>
          </w:tcPr>
          <w:p>
            <w:pPr>
              <w:spacing w:after="20"/>
            </w:pPr>
            <w:r>
              <w:rPr>
                <w:color w:val="122238"/>
                <w:sz w:val="19"/>
              </w:rPr>
              <w:t>Outcome and limitations</w:t>
            </w:r>
          </w:p>
        </w:tc>
        <w:tc>
          <w:tcPr>
            <w:tcW w:type="dxa" w:w="6552"/>
            <w:vAlign w:val="center"/>
          </w:tcPr>
          <w:p>
            <w:pPr>
              <w:spacing w:after="20"/>
            </w:pPr>
            <w:r>
              <w:rPr>
                <w:color w:val="122238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3672"/>
            <w:vAlign w:val="center"/>
            <w:shd w:fill="F4F7FA"/>
          </w:tcPr>
          <w:p>
            <w:pPr>
              <w:spacing w:after="20"/>
            </w:pPr>
            <w:r>
              <w:rPr>
                <w:color w:val="122238"/>
                <w:sz w:val="19"/>
              </w:rPr>
              <w:t>Open action and next owner</w:t>
            </w:r>
          </w:p>
        </w:tc>
        <w:tc>
          <w:tcPr>
            <w:tcW w:type="dxa" w:w="6552"/>
            <w:vAlign w:val="center"/>
            <w:shd w:fill="F4F7FA"/>
          </w:tcPr>
          <w:p>
            <w:pPr>
              <w:spacing w:after="20"/>
            </w:pPr>
            <w:r>
              <w:rPr>
                <w:color w:val="122238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3672"/>
            <w:vAlign w:val="center"/>
          </w:tcPr>
          <w:p>
            <w:pPr>
              <w:spacing w:after="20"/>
            </w:pPr>
            <w:r>
              <w:rPr>
                <w:color w:val="122238"/>
                <w:sz w:val="19"/>
              </w:rPr>
              <w:t>Target date and recheck result</w:t>
            </w:r>
          </w:p>
        </w:tc>
        <w:tc>
          <w:tcPr>
            <w:tcW w:type="dxa" w:w="6552"/>
            <w:vAlign w:val="center"/>
          </w:tcPr>
          <w:p>
            <w:pPr>
              <w:spacing w:after="20"/>
            </w:pPr>
            <w:r>
              <w:rPr>
                <w:color w:val="122238"/>
                <w:sz w:val="19"/>
              </w:rPr>
            </w:r>
          </w:p>
        </w:tc>
      </w:tr>
      <w:tr>
        <w:trPr>
          <w:trHeight w:val="518" w:hRule="atLeast"/>
        </w:trPr>
        <w:tc>
          <w:tcPr>
            <w:tcW w:type="dxa" w:w="3672"/>
            <w:vAlign w:val="center"/>
            <w:shd w:fill="F4F7FA"/>
          </w:tcPr>
          <w:p>
            <w:pPr>
              <w:spacing w:after="20"/>
            </w:pPr>
            <w:r>
              <w:rPr>
                <w:color w:val="122238"/>
                <w:sz w:val="19"/>
              </w:rPr>
              <w:t>Prepared and reviewed by</w:t>
            </w:r>
          </w:p>
        </w:tc>
        <w:tc>
          <w:tcPr>
            <w:tcW w:type="dxa" w:w="6552"/>
            <w:vAlign w:val="center"/>
            <w:shd w:fill="F4F7FA"/>
          </w:tcPr>
          <w:p>
            <w:pPr>
              <w:spacing w:after="20"/>
            </w:pPr>
            <w:r>
              <w:rPr>
                <w:color w:val="122238"/>
                <w:sz w:val="19"/>
              </w:rPr>
            </w:r>
          </w:p>
        </w:tc>
      </w:tr>
    </w:tbl>
    <w:p>
      <w:pPr>
        <w:pStyle w:val="Heading1"/>
      </w:pPr>
      <w:r>
        <w:t>Final checks</w:t>
      </w:r>
    </w:p>
    <w:p>
      <w:pPr>
        <w:pStyle w:val="ListBullet"/>
      </w:pPr>
      <w:r>
        <w:t>Usable stock excludes quarantined and reserved quantities.</w:t>
      </w:r>
    </w:p>
    <w:p>
      <w:pPr>
        <w:pStyle w:val="ListBullet"/>
      </w:pPr>
      <w:r>
        <w:t>Pack sizes and units are consistent.</w:t>
      </w:r>
    </w:p>
    <w:p>
      <w:pPr>
        <w:pStyle w:val="ListBullet"/>
      </w:pPr>
      <w:r>
        <w:t>No purchase or substitute bypasses its approval limit.</w:t>
      </w:r>
    </w:p>
    <w:p>
      <w:pPr>
        <w:pStyle w:val="Heading1"/>
      </w:pPr>
      <w:r>
        <w:t>Show the approved method</w:t>
      </w:r>
    </w:p>
    <w:p>
      <w:pPr>
        <w:pStyle w:val="ListBullet"/>
      </w:pPr>
      <w:r>
        <w:t>Demonstrate counting clearly labeled dummy supplies.</w:t>
      </w:r>
    </w:p>
    <w:p>
      <w:pPr>
        <w:pStyle w:val="ListBullet"/>
      </w:pPr>
      <w:r>
        <w:t>Explain the difference between physical, usable and reserved quantities.</w:t>
      </w:r>
    </w:p>
    <w:p>
      <w:pPr>
        <w:pStyle w:val="ListBullet"/>
      </w:pPr>
      <w:r>
        <w:t>Show the calculation and receipt check in a fictional stock record.</w:t>
      </w:r>
    </w:p>
    <w:p>
      <w:r>
        <w:rPr>
          <w:color w:val="526174"/>
          <w:sz w:val="17"/>
        </w:rPr>
        <w:t>Record with permission, use dummy records and remove private details. Review any generated draft against the demonstration before team use. Check current access and video limits at vid2sop.com.</w:t>
      </w:r>
    </w:p>
    <w:p>
      <w:r>
        <w:rPr>
          <w:color w:val="526174"/>
          <w:sz w:val="17"/>
        </w:rPr>
        <w:t>Template source: https://vid2sop.com/sop-templates/service-supplies-replenishment-sop/</w:t>
      </w:r>
    </w:p>
    <w:p>
      <w:r>
        <w:rPr>
          <w:color w:val="526174"/>
          <w:sz w:val="17"/>
        </w:rPr>
        <w:t>Background references provide context, not endorsement: https://clickup.com/templates/sop/inventory-management</w:t>
      </w:r>
    </w:p>
    <w:p>
      <w:r>
        <w:rPr>
          <w:color w:val="526174"/>
          <w:sz w:val="17"/>
        </w:rPr>
        <w:t>Use: adapt for your organization's internal operations, including paid service delivery. Do not resell unmodified library files as a competing template product. Brand and document layout refreshed; procedure text unchanged.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008" w:bottom="936" w:left="1008" w:header="389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224" w:val="right"/>
      </w:tabs>
    </w:pPr>
    <w:r>
      <w:rPr>
        <w:rFonts w:ascii="Arial" w:hAnsi="Arial"/>
        <w:color w:val="526174"/>
        <w:sz w:val="16"/>
      </w:rPr>
      <w:t>vid2sop.com  |  Template 1.1  |  Adapt and approve before use</w:t>
    </w:r>
    <w:r>
      <w:rPr>
        <w:sz w:val="16"/>
      </w:rPr>
      <w:tab/>
    </w:r>
    <w:fldSimple w:instr="PAGE">
      <w:r>
        <w:t>1</w:t>
      </w:r>
    </w:fldSimple>
    <w:r>
      <w:rPr>
        <w:sz w:val="16"/>
      </w:rPr>
      <w:t xml:space="preserve"> / </w:t>
    </w:r>
    <w:fldSimple w:instr="NUMPAGES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224" w:val="right"/>
      </w:tabs>
      <w:spacing w:after="0"/>
    </w:pPr>
    <w:r>
      <w:drawing>
        <wp:inline xmlns:a="http://schemas.openxmlformats.org/drawingml/2006/main" xmlns:pic="http://schemas.openxmlformats.org/drawingml/2006/picture">
          <wp:extent cx="393192" cy="393192"/>
          <wp:docPr id="1" name="Picture 1" descr="Vid2SOP approved video to procedure brand mark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rand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3192" cy="393192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/>
        <w:color w:val="122238"/>
        <w:sz w:val="36"/>
      </w:rPr>
      <w:t xml:space="preserve"> Vid</w:t>
    </w:r>
    <w:r>
      <w:rPr>
        <w:rFonts w:ascii="Arial" w:hAnsi="Arial"/>
        <w:b/>
        <w:color w:val="096BC1"/>
        <w:sz w:val="36"/>
      </w:rPr>
      <w:t>2</w:t>
    </w:r>
    <w:r>
      <w:rPr>
        <w:rFonts w:ascii="Arial" w:hAnsi="Arial"/>
        <w:b/>
        <w:color w:val="122238"/>
        <w:sz w:val="36"/>
      </w:rPr>
      <w:t>SOP</w:t>
    </w:r>
    <w:r>
      <w:rPr>
        <w:rFonts w:ascii="Arial" w:hAnsi="Arial"/>
        <w:b/>
        <w:color w:val="526174"/>
        <w:sz w:val="16"/>
      </w:rPr>
      <w:tab/>
      <w:t>OPERATIONS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rial" w:hAnsi="Arial"/>
      <w:color w:val="12223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Supplies Replenishment SOP</dc:title>
  <dc:subject>Editable operational template for organization adaptation and approval</dc:subject>
  <dc:creator>Vid2SOP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