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100"/>
      </w:pPr>
      <w:r>
        <w:rPr>
          <w:b/>
          <w:color w:val="096BC1"/>
          <w:sz w:val="16"/>
        </w:rPr>
        <w:t>SOP TEMPLATE  /  VERSION 1.1</w:t>
      </w:r>
    </w:p>
    <w:p>
      <w:pPr>
        <w:pStyle w:val="Title"/>
      </w:pPr>
      <w:r>
        <w:t>Service Visit Closeout and Handover SOP</w:t>
      </w:r>
    </w:p>
    <w:p>
      <w:r>
        <w:t>Check work against scope, document limitations, and transfer open actions before closing a service visit.</w:t>
      </w:r>
    </w:p>
    <w:p>
      <w:r>
        <w:rPr>
          <w:color w:val="526174"/>
          <w:sz w:val="17"/>
        </w:rPr>
        <w:t>Library resource updated 2026-10-28. Assign your own approved document version and effective date.</w:t>
      </w:r>
    </w:p>
    <w:p>
      <w:pPr>
        <w:pStyle w:val="Heading1"/>
      </w:pPr>
      <w:r>
        <w:t>Document control</w:t>
      </w:r>
    </w:p>
    <w:p>
      <w:pPr>
        <w:spacing w:after="80"/>
      </w:pPr>
      <w:r>
        <w:rPr>
          <w:b/>
        </w:rPr>
        <w:t xml:space="preserve">Organization and site  </w:t>
      </w:r>
      <w:r>
        <w:t>____________________________________________</w:t>
      </w:r>
    </w:p>
    <w:p>
      <w:pPr>
        <w:spacing w:after="80"/>
      </w:pPr>
      <w:r>
        <w:rPr>
          <w:b/>
        </w:rPr>
        <w:t xml:space="preserve">Document ID and approved version  </w:t>
      </w:r>
      <w:r>
        <w:t>________________________    Effective date ______________</w:t>
      </w:r>
    </w:p>
    <w:p>
      <w:pPr>
        <w:spacing w:after="80"/>
      </w:pPr>
      <w:r>
        <w:rPr>
          <w:b/>
        </w:rPr>
        <w:t xml:space="preserve">Process owner  </w:t>
      </w:r>
      <w:r>
        <w:t>Service supervisor    Assigned person __________________</w:t>
      </w:r>
    </w:p>
    <w:p>
      <w:pPr>
        <w:spacing w:after="80"/>
      </w:pPr>
      <w:r>
        <w:rPr>
          <w:b/>
        </w:rPr>
        <w:t xml:space="preserve">Reviewer and approver  </w:t>
      </w:r>
      <w:r>
        <w:t>________________________    Next review ______________</w:t>
      </w:r>
    </w:p>
    <w:p>
      <w:pPr>
        <w:pStyle w:val="Heading1"/>
      </w:pPr>
      <w:r>
        <w:t>Purpose and boundary</w:t>
      </w:r>
    </w:p>
    <w:p>
      <w:r>
        <w:t>Leave a usable account of a completed or partial visit and make the owner of each remaining action explicit.</w:t>
      </w:r>
    </w:p>
    <w:p>
      <w:r>
        <w:t>Begins after authorized technical work stops and ends when the service coordinator receives the visit outcome. Covers documentation and handover; does not prescribe repairs, certify safe operation or replace contractual acceptance terms.</w:t>
      </w:r>
    </w:p>
    <w:p>
      <w:pPr>
        <w:pStyle w:val="Heading1"/>
      </w:pPr>
      <w:r>
        <w:t>Responsibilities and preparation</w:t>
      </w:r>
    </w:p>
    <w:p>
      <w:pPr>
        <w:pStyle w:val="ListBullet"/>
      </w:pPr>
      <w:r>
        <w:t>Technician: records work, results and limitations.</w:t>
      </w:r>
    </w:p>
    <w:p>
      <w:pPr>
        <w:pStyle w:val="ListBullet"/>
      </w:pPr>
      <w:r>
        <w:t>Customer contact: acknowledges the visit or raises a question.</w:t>
      </w:r>
    </w:p>
    <w:p>
      <w:pPr>
        <w:pStyle w:val="ListBullet"/>
      </w:pPr>
      <w:r>
        <w:t>Coordinator: reviews the record and owns scheduling of follow-up.</w:t>
      </w:r>
    </w:p>
    <w:p>
      <w:r>
        <w:rPr>
          <w:b/>
        </w:rPr>
        <w:t xml:space="preserve">Have ready </w:t>
      </w:r>
      <w:r>
        <w:t>Approved work order and scope changes; Authorized test record where applicable; Job report and secure evidence folder</w:t>
      </w:r>
    </w:p>
    <w:p>
      <w:pPr>
        <w:pStyle w:val="Heading1"/>
      </w:pPr>
      <w:r>
        <w:t>Adapt before use</w:t>
      </w:r>
    </w:p>
    <w:p>
      <w:pPr>
        <w:pStyle w:val="ListBullet"/>
      </w:pPr>
      <w:r>
        <w:t>Define allowed completion statuses.</w:t>
      </w:r>
    </w:p>
    <w:p>
      <w:pPr>
        <w:pStyle w:val="ListBullet"/>
      </w:pPr>
      <w:r>
        <w:t>Specify mandatory job records and photo permissions.</w:t>
      </w:r>
    </w:p>
    <w:p>
      <w:pPr>
        <w:pStyle w:val="ListBullet"/>
      </w:pPr>
      <w:r>
        <w:t>Separate visit acknowledgment from acceptance of work and payment approval.</w:t>
      </w:r>
    </w:p>
    <w:p>
      <w:pPr>
        <w:pStyle w:val="ListBullet"/>
      </w:pPr>
      <w:r>
        <w:t>Name who can close a job with open follow-up.</w:t>
      </w:r>
    </w:p>
    <w:p>
      <w:r>
        <w:rPr>
          <w:color w:val="526174"/>
          <w:sz w:val="17"/>
        </w:rPr>
        <w:t>Pilot the adapted method with authorized personnel. Resolve gaps and record approval before independent use. This resource is not a certification or technical authorization.</w:t>
      </w:r>
    </w:p>
    <w:p>
      <w:pPr>
        <w:pStyle w:val="Heading1"/>
      </w:pPr>
      <w:r>
        <w:t>Worked example</w:t>
      </w:r>
    </w:p>
    <w:p>
      <w:r>
        <w:t>Example only: A scheduled visit completes two of three authorized tasks. A replacement part is unavailable. The report is Partial, lists the unfinished task, and assigns the coordinator to confirm delivery and a return date. The customer acknowledges the visit without accepting the unfinished work.</w:t>
      </w:r>
    </w:p>
    <w:p>
      <w:r>
        <w:br w:type="page"/>
      </w:r>
    </w:p>
    <w:p>
      <w:pPr>
        <w:spacing w:after="100"/>
      </w:pPr>
      <w:r>
        <w:rPr>
          <w:b/>
          <w:color w:val="096BC1"/>
          <w:sz w:val="16"/>
        </w:rPr>
        <w:t>METHOD  /  FIRST ACTIONS</w:t>
      </w:r>
    </w:p>
    <w:p>
      <w:pPr>
        <w:pStyle w:val="Heading1"/>
      </w:pPr>
      <w:r>
        <w:t>Procedure steps 1 to 4</w:t>
      </w:r>
    </w:p>
    <w:p>
      <w:pPr>
        <w:pStyle w:val="Heading2"/>
      </w:pPr>
      <w:r>
        <w:rPr>
          <w:b/>
          <w:color w:val="096BC1"/>
          <w:sz w:val="30"/>
        </w:rPr>
        <w:t xml:space="preserve">01  </w:t>
      </w:r>
      <w:r>
        <w:t>Reconcile the work order</w:t>
      </w:r>
    </w:p>
    <w:p>
      <w:r>
        <w:t>Compare work performed with the authorized scope and recorded changes. List anything not completed without implying it was checked.</w:t>
      </w:r>
    </w:p>
    <w:p>
      <w:pPr>
        <w:spacing w:after="60"/>
      </w:pPr>
      <w:r>
        <w:rPr>
          <w:b/>
        </w:rPr>
        <w:t xml:space="preserve">Acceptance check: </w:t>
      </w:r>
      <w:r>
        <w:t>Performed, excluded and remaining work are clearly separated.</w:t>
      </w:r>
    </w:p>
    <w:p>
      <w:pPr>
        <w:spacing w:after="180"/>
      </w:pPr>
      <w:r>
        <w:rPr>
          <w:b/>
        </w:rPr>
        <w:t xml:space="preserve">Record: </w:t>
      </w:r>
      <w:r>
        <w:t>Scope reference, changes and remaining tasks.</w:t>
      </w:r>
    </w:p>
    <w:p>
      <w:pPr>
        <w:pStyle w:val="Heading2"/>
      </w:pPr>
      <w:r>
        <w:rPr>
          <w:b/>
          <w:color w:val="096BC1"/>
          <w:sz w:val="30"/>
        </w:rPr>
        <w:t xml:space="preserve">02  </w:t>
      </w:r>
      <w:r>
        <w:t>Record actual checks</w:t>
      </w:r>
    </w:p>
    <w:p>
      <w:r>
        <w:t>Enter only checks genuinely performed by an authorized person. Include the method reference and actual result; avoid generic statements such as all safe if no defined check supports them.</w:t>
      </w:r>
    </w:p>
    <w:p>
      <w:pPr>
        <w:spacing w:after="60"/>
      </w:pPr>
      <w:r>
        <w:rPr>
          <w:b/>
        </w:rPr>
        <w:t xml:space="preserve">Acceptance check: </w:t>
      </w:r>
      <w:r>
        <w:t>Every recorded check has an identifiable basis.</w:t>
      </w:r>
    </w:p>
    <w:p>
      <w:pPr>
        <w:spacing w:after="180"/>
      </w:pPr>
      <w:r>
        <w:rPr>
          <w:b/>
        </w:rPr>
        <w:t xml:space="preserve">Record: </w:t>
      </w:r>
      <w:r>
        <w:t>Check, method, result and inspection limit.</w:t>
      </w:r>
    </w:p>
    <w:p>
      <w:pPr>
        <w:pStyle w:val="Heading2"/>
      </w:pPr>
      <w:r>
        <w:rPr>
          <w:b/>
          <w:color w:val="096BC1"/>
          <w:sz w:val="30"/>
        </w:rPr>
        <w:t xml:space="preserve">03  </w:t>
      </w:r>
      <w:r>
        <w:t>Organize completion evidence</w:t>
      </w:r>
    </w:p>
    <w:p>
      <w:r>
        <w:t>Attach permitted photos with location, stage and a factual caption. Avoid customer documents, people and credentials. A photo records appearance, not unseen technical performance.</w:t>
      </w:r>
    </w:p>
    <w:p>
      <w:pPr>
        <w:spacing w:after="60"/>
      </w:pPr>
      <w:r>
        <w:rPr>
          <w:b/>
        </w:rPr>
        <w:t xml:space="preserve">Acceptance check: </w:t>
      </w:r>
      <w:r>
        <w:t>Evidence can be matched to the correct visit and area.</w:t>
      </w:r>
    </w:p>
    <w:p>
      <w:pPr>
        <w:spacing w:after="180"/>
      </w:pPr>
      <w:r>
        <w:rPr>
          <w:b/>
        </w:rPr>
        <w:t xml:space="preserve">Record: </w:t>
      </w:r>
      <w:r>
        <w:t>Photo references, captions and relevant result references.</w:t>
      </w:r>
    </w:p>
    <w:p>
      <w:pPr>
        <w:pStyle w:val="Heading2"/>
      </w:pPr>
      <w:r>
        <w:rPr>
          <w:b/>
          <w:color w:val="096BC1"/>
          <w:sz w:val="30"/>
        </w:rPr>
        <w:t xml:space="preserve">04  </w:t>
      </w:r>
      <w:r>
        <w:t>List unresolved items</w:t>
      </w:r>
    </w:p>
    <w:p>
      <w:r>
        <w:t>Give each outstanding issue a next action, owner and target date. If an issue prevents normal use, follow the site escalation plan and record the communicated limitation.</w:t>
      </w:r>
    </w:p>
    <w:p>
      <w:pPr>
        <w:spacing w:after="60"/>
      </w:pPr>
      <w:r>
        <w:rPr>
          <w:b/>
        </w:rPr>
        <w:t xml:space="preserve">Acceptance check: </w:t>
      </w:r>
      <w:r>
        <w:t>No unresolved item is left without a named owner.</w:t>
      </w:r>
    </w:p>
    <w:p>
      <w:pPr>
        <w:spacing w:after="180"/>
      </w:pPr>
      <w:r>
        <w:rPr>
          <w:b/>
        </w:rPr>
        <w:t xml:space="preserve">Record: </w:t>
      </w:r>
      <w:r>
        <w:t>Open item, restriction, owner and next update.</w:t>
      </w:r>
    </w:p>
    <w:p>
      <w:r>
        <w:br w:type="page"/>
      </w:r>
    </w:p>
    <w:p>
      <w:pPr>
        <w:spacing w:after="100"/>
      </w:pPr>
      <w:r>
        <w:rPr>
          <w:b/>
          <w:color w:val="096BC1"/>
          <w:sz w:val="16"/>
        </w:rPr>
        <w:t>METHOD  /  COMPLETION AND EXCEPTIONS</w:t>
      </w:r>
    </w:p>
    <w:p>
      <w:pPr>
        <w:pStyle w:val="Heading1"/>
      </w:pPr>
      <w:r>
        <w:t>Complete the procedure</w:t>
      </w:r>
    </w:p>
    <w:p>
      <w:pPr>
        <w:pStyle w:val="Heading2"/>
      </w:pPr>
      <w:r>
        <w:rPr>
          <w:b/>
          <w:color w:val="096BC1"/>
          <w:sz w:val="30"/>
        </w:rPr>
        <w:t xml:space="preserve">05  </w:t>
      </w:r>
      <w:r>
        <w:t>Review with the site contact</w:t>
      </w:r>
    </w:p>
    <w:p>
      <w:r>
        <w:t>Explain what was done and what remains. Record the meaning of any acknowledgment, such as visit occurred or work reviewed; do not represent it as acceptance unless explicitly agreed.</w:t>
      </w:r>
    </w:p>
    <w:p>
      <w:pPr>
        <w:spacing w:after="60"/>
      </w:pPr>
      <w:r>
        <w:rPr>
          <w:b/>
        </w:rPr>
        <w:t xml:space="preserve">Acceptance check: </w:t>
      </w:r>
      <w:r>
        <w:t>The record accurately describes what the contact acknowledged.</w:t>
      </w:r>
    </w:p>
    <w:p>
      <w:pPr>
        <w:spacing w:after="180"/>
      </w:pPr>
      <w:r>
        <w:rPr>
          <w:b/>
        </w:rPr>
        <w:t xml:space="preserve">Record: </w:t>
      </w:r>
      <w:r>
        <w:t>Contact, acknowledgment meaning, time or reason unavailable.</w:t>
      </w:r>
    </w:p>
    <w:p>
      <w:pPr>
        <w:pStyle w:val="Heading2"/>
      </w:pPr>
      <w:r>
        <w:rPr>
          <w:b/>
          <w:color w:val="096BC1"/>
          <w:sz w:val="30"/>
        </w:rPr>
        <w:t xml:space="preserve">06  </w:t>
      </w:r>
      <w:r>
        <w:t>Submit for coordinator review</w:t>
      </w:r>
    </w:p>
    <w:p>
      <w:r>
        <w:t>Send the report and linked evidence through the approved channel. Use Complete, Partial or Follow-up required as appropriate.</w:t>
      </w:r>
    </w:p>
    <w:p>
      <w:pPr>
        <w:spacing w:after="60"/>
      </w:pPr>
      <w:r>
        <w:rPr>
          <w:b/>
        </w:rPr>
        <w:t xml:space="preserve">Acceptance check: </w:t>
      </w:r>
      <w:r>
        <w:t>Coordinator has the report, not just a completion message.</w:t>
      </w:r>
    </w:p>
    <w:p>
      <w:pPr>
        <w:spacing w:after="180"/>
      </w:pPr>
      <w:r>
        <w:rPr>
          <w:b/>
        </w:rPr>
        <w:t xml:space="preserve">Record: </w:t>
      </w:r>
      <w:r>
        <w:t>Submitted record, status and receiving coordinator.</w:t>
      </w:r>
    </w:p>
    <w:p>
      <w:pPr>
        <w:pStyle w:val="Heading2"/>
      </w:pPr>
      <w:r>
        <w:rPr>
          <w:b/>
          <w:color w:val="096BC1"/>
          <w:sz w:val="30"/>
        </w:rPr>
        <w:t xml:space="preserve">07  </w:t>
      </w:r>
      <w:r>
        <w:t>Close or schedule the next action</w:t>
      </w:r>
    </w:p>
    <w:p>
      <w:r>
        <w:t>Coordinator checks required fields and either closes within their authority or schedules follow-up. Keep the original visit record when later work is added.</w:t>
      </w:r>
    </w:p>
    <w:p>
      <w:pPr>
        <w:spacing w:after="60"/>
      </w:pPr>
      <w:r>
        <w:rPr>
          <w:b/>
        </w:rPr>
        <w:t xml:space="preserve">Acceptance check: </w:t>
      </w:r>
      <w:r>
        <w:t>Closure is authorized and follow-up has a traceable reference.</w:t>
      </w:r>
    </w:p>
    <w:p>
      <w:pPr>
        <w:spacing w:after="180"/>
      </w:pPr>
      <w:r>
        <w:rPr>
          <w:b/>
        </w:rPr>
        <w:t xml:space="preserve">Record: </w:t>
      </w:r>
      <w:r>
        <w:t>Reviewer, closure decision or follow-up reference.</w:t>
      </w:r>
    </w:p>
    <w:p>
      <w:pPr>
        <w:pStyle w:val="Heading1"/>
      </w:pPr>
      <w:r>
        <w:t>Exceptions and escalation</w:t>
      </w:r>
    </w:p>
    <w:p>
      <w:pPr>
        <w:keepNext/>
      </w:pPr>
      <w:r>
        <w:rPr>
          <w:b/>
          <w:color w:val="C75B24"/>
        </w:rPr>
        <w:t>Customer contact is unavailable</w:t>
      </w:r>
    </w:p>
    <w:p>
      <w:r>
        <w:t>Record that acknowledgment was not obtained and route the report to the approved contact; do not fabricate a signature.</w:t>
      </w:r>
    </w:p>
    <w:p>
      <w:pPr>
        <w:keepNext/>
      </w:pPr>
      <w:r>
        <w:rPr>
          <w:b/>
          <w:color w:val="C75B24"/>
        </w:rPr>
        <w:t>Evidence was not captured</w:t>
      </w:r>
    </w:p>
    <w:p>
      <w:r>
        <w:t>Describe the gap and its impact; do not reuse photos from a different job.</w:t>
      </w:r>
    </w:p>
    <w:p>
      <w:pPr>
        <w:keepNext/>
      </w:pPr>
      <w:r>
        <w:rPr>
          <w:b/>
          <w:color w:val="C75B24"/>
        </w:rPr>
        <w:t>Customer disputes completion</w:t>
      </w:r>
    </w:p>
    <w:p>
      <w:r>
        <w:t>Keep the disputed item open and send the scope, reported issue and evidence to the supervisor.</w:t>
      </w:r>
    </w:p>
    <w:p>
      <w:r>
        <w:br w:type="page"/>
      </w:r>
    </w:p>
    <w:p>
      <w:pPr>
        <w:spacing w:after="100"/>
      </w:pPr>
      <w:r>
        <w:rPr>
          <w:b/>
          <w:color w:val="096BC1"/>
          <w:sz w:val="16"/>
        </w:rPr>
        <w:t>WORKING RECORD  /  ADAPT TO YOUR SYSTEM</w:t>
      </w:r>
    </w:p>
    <w:p>
      <w:pPr>
        <w:pStyle w:val="Heading1"/>
      </w:pPr>
      <w:r>
        <w:t>Working record and review</w:t>
      </w:r>
    </w:p>
    <w:p>
      <w:r>
        <w:rPr>
          <w:color w:val="526174"/>
          <w:sz w:val="17"/>
        </w:rPr>
        <w:t>Complete this record for an actual use. Keep supporting evidence in your approved system; exclude passwords, access codes and unnecessary personal details.</w:t>
      </w:r>
    </w:p>
    <w:tbl>
      <w:tblPr>
        <w:tblW w:type="auto" w:w="0"/>
        <w:tblLayout w:type="fixed"/>
        <w:tblLook w:firstColumn="1" w:firstRow="1" w:lastColumn="0" w:lastRow="0" w:noHBand="0" w:noVBand="1" w:val="04A0"/>
        <w:tblBorders>
          <w:top w:val="single" w:sz="4" w:color="D9DFE6"/>
          <w:left w:val="single" w:sz="4" w:color="D9DFE6"/>
          <w:bottom w:val="single" w:sz="4" w:color="D9DFE6"/>
          <w:right w:val="single" w:sz="4" w:color="D9DFE6"/>
          <w:insideH w:val="single" w:sz="4" w:color="D9DFE6"/>
          <w:insideV w:val="single" w:sz="4" w:color="D9DFE6"/>
        </w:tblBorders>
        <w:tblCellMar>
          <w:top w:w="90" w:type="dxa"/>
          <w:bottom w:w="90" w:type="dxa"/>
          <w:left w:w="110" w:type="dxa"/>
          <w:right w:w="110" w:type="dxa"/>
        </w:tblCellMar>
      </w:tblPr>
      <w:tblGrid>
        <w:gridCol w:w="3672"/>
        <w:gridCol w:w="6552"/>
      </w:tblGrid>
      <w:tr>
        <w:trPr>
          <w:tblHeader/>
        </w:trPr>
        <w:tc>
          <w:tcPr>
            <w:tcW w:type="dxa" w:w="5112"/>
            <w:shd w:fill="122238"/>
          </w:tcPr>
          <w:p>
            <w:r>
              <w:rPr>
                <w:b/>
                <w:color w:val="FFFFFF"/>
                <w:sz w:val="17"/>
              </w:rPr>
              <w:t>RECORD FIELD</w:t>
            </w:r>
          </w:p>
        </w:tc>
        <w:tc>
          <w:tcPr>
            <w:tcW w:type="dxa" w:w="5112"/>
            <w:shd w:fill="122238"/>
          </w:tcPr>
          <w:p>
            <w:r>
              <w:rPr>
                <w:b/>
                <w:color w:val="FFFFFF"/>
                <w:sz w:val="17"/>
              </w:rPr>
              <w:t>ENTRY</w:t>
            </w:r>
          </w:p>
        </w:tc>
      </w:tr>
      <w:tr>
        <w:trPr>
          <w:trHeight w:val="518" w:hRule="atLeast"/>
        </w:trPr>
        <w:tc>
          <w:tcPr>
            <w:tcW w:type="dxa" w:w="3672"/>
            <w:vAlign w:val="center"/>
          </w:tcPr>
          <w:p>
            <w:pPr>
              <w:spacing w:after="20"/>
            </w:pPr>
            <w:r>
              <w:rPr>
                <w:color w:val="122238"/>
                <w:sz w:val="19"/>
              </w:rPr>
              <w:t>Job or session reference</w:t>
            </w:r>
          </w:p>
        </w:tc>
        <w:tc>
          <w:tcPr>
            <w:tcW w:type="dxa" w:w="6552"/>
            <w:vAlign w:val="center"/>
          </w:tcPr>
          <w:p>
            <w:pPr>
              <w:spacing w:after="20"/>
            </w:pPr>
            <w:r>
              <w:rPr>
                <w:color w:val="122238"/>
                <w:sz w:val="19"/>
              </w:rPr>
            </w:r>
          </w:p>
        </w:tc>
      </w:tr>
      <w:tr>
        <w:trPr>
          <w:trHeight w:val="518" w:hRule="atLeast"/>
        </w:trPr>
        <w:tc>
          <w:tcPr>
            <w:tcW w:type="dxa" w:w="3672"/>
            <w:vAlign w:val="center"/>
            <w:shd w:fill="F4F7FA"/>
          </w:tcPr>
          <w:p>
            <w:pPr>
              <w:spacing w:after="20"/>
            </w:pPr>
            <w:r>
              <w:rPr>
                <w:color w:val="122238"/>
                <w:sz w:val="19"/>
              </w:rPr>
              <w:t>Date and location</w:t>
            </w:r>
          </w:p>
        </w:tc>
        <w:tc>
          <w:tcPr>
            <w:tcW w:type="dxa" w:w="6552"/>
            <w:vAlign w:val="center"/>
            <w:shd w:fill="F4F7FA"/>
          </w:tcPr>
          <w:p>
            <w:pPr>
              <w:spacing w:after="20"/>
            </w:pPr>
            <w:r>
              <w:rPr>
                <w:color w:val="122238"/>
                <w:sz w:val="19"/>
              </w:rPr>
            </w:r>
          </w:p>
        </w:tc>
      </w:tr>
      <w:tr>
        <w:trPr>
          <w:trHeight w:val="518" w:hRule="atLeast"/>
        </w:trPr>
        <w:tc>
          <w:tcPr>
            <w:tcW w:type="dxa" w:w="3672"/>
            <w:vAlign w:val="center"/>
          </w:tcPr>
          <w:p>
            <w:pPr>
              <w:spacing w:after="20"/>
            </w:pPr>
            <w:r>
              <w:rPr>
                <w:color w:val="122238"/>
                <w:sz w:val="19"/>
              </w:rPr>
              <w:t>Outcome and limitations</w:t>
            </w:r>
          </w:p>
        </w:tc>
        <w:tc>
          <w:tcPr>
            <w:tcW w:type="dxa" w:w="6552"/>
            <w:vAlign w:val="center"/>
          </w:tcPr>
          <w:p>
            <w:pPr>
              <w:spacing w:after="20"/>
            </w:pPr>
            <w:r>
              <w:rPr>
                <w:color w:val="122238"/>
                <w:sz w:val="19"/>
              </w:rPr>
            </w:r>
          </w:p>
        </w:tc>
      </w:tr>
      <w:tr>
        <w:trPr>
          <w:trHeight w:val="518" w:hRule="atLeast"/>
        </w:trPr>
        <w:tc>
          <w:tcPr>
            <w:tcW w:type="dxa" w:w="3672"/>
            <w:vAlign w:val="center"/>
            <w:shd w:fill="F4F7FA"/>
          </w:tcPr>
          <w:p>
            <w:pPr>
              <w:spacing w:after="20"/>
            </w:pPr>
            <w:r>
              <w:rPr>
                <w:color w:val="122238"/>
                <w:sz w:val="19"/>
              </w:rPr>
              <w:t>Open action and next owner</w:t>
            </w:r>
          </w:p>
        </w:tc>
        <w:tc>
          <w:tcPr>
            <w:tcW w:type="dxa" w:w="6552"/>
            <w:vAlign w:val="center"/>
            <w:shd w:fill="F4F7FA"/>
          </w:tcPr>
          <w:p>
            <w:pPr>
              <w:spacing w:after="20"/>
            </w:pPr>
            <w:r>
              <w:rPr>
                <w:color w:val="122238"/>
                <w:sz w:val="19"/>
              </w:rPr>
            </w:r>
          </w:p>
        </w:tc>
      </w:tr>
      <w:tr>
        <w:trPr>
          <w:trHeight w:val="518" w:hRule="atLeast"/>
        </w:trPr>
        <w:tc>
          <w:tcPr>
            <w:tcW w:type="dxa" w:w="3672"/>
            <w:vAlign w:val="center"/>
          </w:tcPr>
          <w:p>
            <w:pPr>
              <w:spacing w:after="20"/>
            </w:pPr>
            <w:r>
              <w:rPr>
                <w:color w:val="122238"/>
                <w:sz w:val="19"/>
              </w:rPr>
              <w:t>Target date and recheck result</w:t>
            </w:r>
          </w:p>
        </w:tc>
        <w:tc>
          <w:tcPr>
            <w:tcW w:type="dxa" w:w="6552"/>
            <w:vAlign w:val="center"/>
          </w:tcPr>
          <w:p>
            <w:pPr>
              <w:spacing w:after="20"/>
            </w:pPr>
            <w:r>
              <w:rPr>
                <w:color w:val="122238"/>
                <w:sz w:val="19"/>
              </w:rPr>
            </w:r>
          </w:p>
        </w:tc>
      </w:tr>
      <w:tr>
        <w:trPr>
          <w:trHeight w:val="518" w:hRule="atLeast"/>
        </w:trPr>
        <w:tc>
          <w:tcPr>
            <w:tcW w:type="dxa" w:w="3672"/>
            <w:vAlign w:val="center"/>
            <w:shd w:fill="F4F7FA"/>
          </w:tcPr>
          <w:p>
            <w:pPr>
              <w:spacing w:after="20"/>
            </w:pPr>
            <w:r>
              <w:rPr>
                <w:color w:val="122238"/>
                <w:sz w:val="19"/>
              </w:rPr>
              <w:t>Prepared and reviewed by</w:t>
            </w:r>
          </w:p>
        </w:tc>
        <w:tc>
          <w:tcPr>
            <w:tcW w:type="dxa" w:w="6552"/>
            <w:vAlign w:val="center"/>
            <w:shd w:fill="F4F7FA"/>
          </w:tcPr>
          <w:p>
            <w:pPr>
              <w:spacing w:after="20"/>
            </w:pPr>
            <w:r>
              <w:rPr>
                <w:color w:val="122238"/>
                <w:sz w:val="19"/>
              </w:rPr>
            </w:r>
          </w:p>
        </w:tc>
      </w:tr>
    </w:tbl>
    <w:p>
      <w:pPr>
        <w:pStyle w:val="Heading1"/>
      </w:pPr>
      <w:r>
        <w:t>Final checks</w:t>
      </w:r>
    </w:p>
    <w:p>
      <w:pPr>
        <w:pStyle w:val="ListBullet"/>
      </w:pPr>
      <w:r>
        <w:t>No evidence from another job.</w:t>
      </w:r>
    </w:p>
    <w:p>
      <w:pPr>
        <w:pStyle w:val="ListBullet"/>
      </w:pPr>
      <w:r>
        <w:t>Acknowledgment meaning is explicit.</w:t>
      </w:r>
    </w:p>
    <w:p>
      <w:pPr>
        <w:pStyle w:val="ListBullet"/>
      </w:pPr>
      <w:r>
        <w:t>Partial work cannot become Complete merely because the technician left.</w:t>
      </w:r>
    </w:p>
    <w:p>
      <w:pPr>
        <w:pStyle w:val="Heading1"/>
      </w:pPr>
      <w:r>
        <w:t>Show the approved method</w:t>
      </w:r>
    </w:p>
    <w:p>
      <w:pPr>
        <w:pStyle w:val="ListBullet"/>
      </w:pPr>
      <w:r>
        <w:t>Show a staged work order comparison and a factual photo caption.</w:t>
      </w:r>
    </w:p>
    <w:p>
      <w:pPr>
        <w:pStyle w:val="ListBullet"/>
      </w:pPr>
      <w:r>
        <w:t>Narrate how to report a partial visit.</w:t>
      </w:r>
    </w:p>
    <w:p>
      <w:pPr>
        <w:pStyle w:val="ListBullet"/>
      </w:pPr>
      <w:r>
        <w:t>Demonstrate the difference between acknowledgment and approval using fictional names.</w:t>
      </w:r>
    </w:p>
    <w:p>
      <w:r>
        <w:rPr>
          <w:color w:val="526174"/>
          <w:sz w:val="17"/>
        </w:rPr>
        <w:t>Record with permission, use dummy records and remove private details. Review any generated draft against the demonstration before team use. Check current access and video limits at vid2sop.com.</w:t>
      </w:r>
    </w:p>
    <w:p>
      <w:r>
        <w:rPr>
          <w:color w:val="526174"/>
          <w:sz w:val="17"/>
        </w:rPr>
        <w:t>Template source: https://vid2sop.com/sop-templates/service-visit-closeout-sop/</w:t>
      </w:r>
    </w:p>
    <w:p>
      <w:r>
        <w:rPr>
          <w:color w:val="526174"/>
          <w:sz w:val="17"/>
        </w:rPr>
        <w:t>Background references provide context, not endorsement: https://www.getmaintainx.com/work-order-templates</w:t>
      </w:r>
    </w:p>
    <w:p>
      <w:r>
        <w:rPr>
          <w:color w:val="526174"/>
          <w:sz w:val="17"/>
        </w:rPr>
        <w:t>Use: adapt for your organization's internal operations, including paid service delivery. Do not resell unmodified library files as a competing template product. Brand and document layout refreshed; procedure text unchanged.</w:t>
      </w:r>
    </w:p>
    <w:sectPr w:rsidR="00FC693F" w:rsidRPr="0006063C" w:rsidSect="00034616">
      <w:headerReference w:type="default" r:id="rId9"/>
      <w:footerReference w:type="default" r:id="rId10"/>
      <w:pgSz w:w="12240" w:h="15840"/>
      <w:pgMar w:top="1296" w:right="1008" w:bottom="936" w:left="1008" w:header="389" w:footer="403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tabs>
        <w:tab w:pos="10224" w:val="right"/>
      </w:tabs>
    </w:pPr>
    <w:r>
      <w:rPr>
        <w:rFonts w:ascii="Arial" w:hAnsi="Arial"/>
        <w:color w:val="526174"/>
        <w:sz w:val="16"/>
      </w:rPr>
      <w:t>vid2sop.com  |  Template 1.1  |  Adapt and approve before use</w:t>
    </w:r>
    <w:r>
      <w:rPr>
        <w:sz w:val="16"/>
      </w:rPr>
      <w:tab/>
    </w:r>
    <w:fldSimple w:instr="PAGE">
      <w:r>
        <w:t>1</w:t>
      </w:r>
    </w:fldSimple>
    <w:r>
      <w:rPr>
        <w:sz w:val="16"/>
      </w:rPr>
      <w:t xml:space="preserve"> / </w:t>
    </w:r>
    <w:fldSimple w:instr="NUMPAGES">
      <w:r>
        <w:t>1</w:t>
      </w:r>
    </w:fldSimple>
  </w:p>
</w:ftr>
</file>

<file path=word/header1.xml><?xml version="1.0" encoding="utf-8"?>
<w:hd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tabs>
        <w:tab w:pos="10224" w:val="right"/>
      </w:tabs>
      <w:spacing w:after="0"/>
    </w:pPr>
    <w:r>
      <w:drawing>
        <wp:inline xmlns:a="http://schemas.openxmlformats.org/drawingml/2006/main" xmlns:pic="http://schemas.openxmlformats.org/drawingml/2006/picture">
          <wp:extent cx="393192" cy="393192"/>
          <wp:docPr id="1" name="Picture 1" descr="Vid2SOP approved video to procedure brand mark"/>
          <wp:cNvGraphicFramePr>
            <a:graphicFrameLocks noChangeAspect="1"/>
          </wp:cNvGraphicFramePr>
          <a:graphic>
            <a:graphicData uri="http://schemas.openxmlformats.org/drawingml/2006/picture">
              <pic:pic>
                <pic:nvPicPr>
                  <pic:cNvPr id="0" name="brand-mark.png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393192" cy="393192"/>
                  </a:xfrm>
                  <a:prstGeom prst="rect"/>
                </pic:spPr>
              </pic:pic>
            </a:graphicData>
          </a:graphic>
        </wp:inline>
      </w:drawing>
    </w:r>
    <w:r>
      <w:rPr>
        <w:rFonts w:ascii="Arial" w:hAnsi="Arial"/>
        <w:b/>
        <w:color w:val="122238"/>
        <w:sz w:val="36"/>
      </w:rPr>
      <w:t xml:space="preserve"> Vid</w:t>
    </w:r>
    <w:r>
      <w:rPr>
        <w:rFonts w:ascii="Arial" w:hAnsi="Arial"/>
        <w:b/>
        <w:color w:val="096BC1"/>
        <w:sz w:val="36"/>
      </w:rPr>
      <w:t>2</w:t>
    </w:r>
    <w:r>
      <w:rPr>
        <w:rFonts w:ascii="Arial" w:hAnsi="Arial"/>
        <w:b/>
        <w:color w:val="122238"/>
        <w:sz w:val="36"/>
      </w:rPr>
      <w:t>SOP</w:t>
    </w:r>
    <w:r>
      <w:rPr>
        <w:rFonts w:ascii="Arial" w:hAnsi="Arial"/>
        <w:b/>
        <w:color w:val="526174"/>
        <w:sz w:val="16"/>
      </w:rPr>
      <w:tab/>
      <w:t>OPERATIONS LIBRARY</w:t>
    </w:r>
  </w:p>
</w:hd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20" w:line="264" w:lineRule="auto"/>
    </w:pPr>
    <w:rPr>
      <w:rFonts w:ascii="Arial" w:hAnsi="Arial"/>
      <w:color w:val="122238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240" w:after="120"/>
      <w:outlineLvl w:val="0"/>
    </w:pPr>
    <w:rPr>
      <w:rFonts w:asciiTheme="majorHAnsi" w:eastAsiaTheme="majorEastAsia" w:hAnsiTheme="majorHAnsi" w:cstheme="majorBidi" w:ascii="Arial" w:hAnsi="Arial"/>
      <w:b/>
      <w:bCs/>
      <w:color w:val="000000"/>
      <w:sz w:val="30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40" w:after="120"/>
      <w:outlineLvl w:val="1"/>
    </w:pPr>
    <w:rPr>
      <w:rFonts w:asciiTheme="majorHAnsi" w:eastAsiaTheme="majorEastAsia" w:hAnsiTheme="majorHAnsi" w:cstheme="majorBidi" w:ascii="Arial" w:hAnsi="Arial"/>
      <w:b/>
      <w:bCs/>
      <w:color w:val="000000"/>
      <w:sz w:val="23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keepNext/>
      <w:spacing w:after="120" w:line="240" w:lineRule="auto" w:before="0"/>
      <w:contextualSpacing/>
    </w:pPr>
    <w:rPr>
      <w:rFonts w:asciiTheme="majorHAnsi" w:eastAsiaTheme="majorEastAsia" w:hAnsiTheme="majorHAnsi" w:cstheme="majorBidi" w:ascii="Arial" w:hAnsi="Arial"/>
      <w:b/>
      <w:color w:val="000000"/>
      <w:spacing w:val="5"/>
      <w:kern w:val="28"/>
      <w:sz w:val="48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spacing w:after="80" w:line="259" w:lineRule="auto"/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header" Target="header1.xml"/><Relationship Id="rId10" Type="http://schemas.openxmlformats.org/officeDocument/2006/relationships/footer" Target="footer1.xml"/></Relationships>
</file>

<file path=word/_rels/header1.xml.rels><?xml version='1.0' encoding='UTF-8' standalone='yes'?>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Service Visit Closeout and Handover SOP</dc:title>
  <dc:subject>Editable operational template for organization adaptation and approval</dc:subject>
  <dc:creator>Vid2SOP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