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b/>
          <w:color w:val="096BC1"/>
          <w:sz w:val="16"/>
        </w:rPr>
        <w:t>SOP TEMPLATE  /  VERSION 1.1</w:t>
      </w:r>
    </w:p>
    <w:p>
      <w:pPr>
        <w:pStyle w:val="Title"/>
      </w:pPr>
      <w:r>
        <w:t>SOP Review and Version Control SOP</w:t>
      </w:r>
    </w:p>
    <w:p>
      <w:r>
        <w:t>Update a procedure with traceable review, a clear effective date and withdrawal of superseded copies.</w:t>
      </w:r>
    </w:p>
    <w:p>
      <w:r>
        <w:rPr>
          <w:color w:val="526174"/>
          <w:sz w:val="17"/>
        </w:rPr>
        <w:t>Library resource updated 2026-10-28. Assign your own approved document version and effective date.</w:t>
      </w:r>
    </w:p>
    <w:p>
      <w:pPr>
        <w:pStyle w:val="Heading1"/>
      </w:pPr>
      <w:r>
        <w:t>Document control</w:t>
      </w:r>
    </w:p>
    <w:p>
      <w:pPr>
        <w:spacing w:after="80"/>
      </w:pPr>
      <w:r>
        <w:rPr>
          <w:b/>
        </w:rPr>
        <w:t xml:space="preserve">Organization and site  </w:t>
      </w:r>
      <w:r>
        <w:t>____________________________________________</w:t>
      </w:r>
    </w:p>
    <w:p>
      <w:pPr>
        <w:spacing w:after="80"/>
      </w:pPr>
      <w:r>
        <w:rPr>
          <w:b/>
        </w:rPr>
        <w:t xml:space="preserve">Document ID and approved version  </w:t>
      </w:r>
      <w:r>
        <w:t>________________________    Effective date ______________</w:t>
      </w:r>
    </w:p>
    <w:p>
      <w:pPr>
        <w:spacing w:after="80"/>
      </w:pPr>
      <w:r>
        <w:rPr>
          <w:b/>
        </w:rPr>
        <w:t xml:space="preserve">Process owner  </w:t>
      </w:r>
      <w:r>
        <w:t>Process owner    Assigned person __________________</w:t>
      </w:r>
    </w:p>
    <w:p>
      <w:pPr>
        <w:spacing w:after="80"/>
      </w:pPr>
      <w:r>
        <w:rPr>
          <w:b/>
        </w:rPr>
        <w:t xml:space="preserve">Reviewer and approver  </w:t>
      </w:r>
      <w:r>
        <w:t>________________________    Next review ______________</w:t>
      </w:r>
    </w:p>
    <w:p>
      <w:pPr>
        <w:pStyle w:val="Heading1"/>
      </w:pPr>
      <w:r>
        <w:t>Purpose and boundary</w:t>
      </w:r>
    </w:p>
    <w:p>
      <w:r>
        <w:t>Keep a team’s working instructions aligned with the currently approved process and prevent an edited draft from silently replacing the version people use.</w:t>
      </w:r>
    </w:p>
    <w:p>
      <w:r>
        <w:t>Internal routine operating procedures, from change request to release and follow-up. Excludes regulated document-control certification, legal policy approval and any claim that a software timestamp proves training.</w:t>
      </w:r>
    </w:p>
    <w:p>
      <w:pPr>
        <w:pStyle w:val="Heading1"/>
      </w:pPr>
      <w:r>
        <w:t>Responsibilities and preparation</w:t>
      </w:r>
    </w:p>
    <w:p>
      <w:pPr>
        <w:pStyle w:val="ListBullet"/>
      </w:pPr>
      <w:r>
        <w:t>Author: drafts changes and records their basis.</w:t>
      </w:r>
    </w:p>
    <w:p>
      <w:pPr>
        <w:pStyle w:val="ListBullet"/>
      </w:pPr>
      <w:r>
        <w:t>Reviewer: checks the method and exceptions against actual work.</w:t>
      </w:r>
    </w:p>
    <w:p>
      <w:pPr>
        <w:pStyle w:val="ListBullet"/>
      </w:pPr>
      <w:r>
        <w:t>Approver: authorizes the effective version.</w:t>
      </w:r>
    </w:p>
    <w:p>
      <w:pPr>
        <w:pStyle w:val="ListBullet"/>
      </w:pPr>
      <w:r>
        <w:t>Team lead: replaces access points and communicates the change.</w:t>
      </w:r>
    </w:p>
    <w:p>
      <w:r>
        <w:rPr>
          <w:b/>
        </w:rPr>
        <w:t xml:space="preserve">Have ready </w:t>
      </w:r>
      <w:r>
        <w:t>Current approved SOP and revision log; Change request and demonstration evidence where permitted; Controlled document location and distribution list</w:t>
      </w:r>
    </w:p>
    <w:p>
      <w:pPr>
        <w:pStyle w:val="Heading1"/>
      </w:pPr>
      <w:r>
        <w:t>Adapt before use</w:t>
      </w:r>
    </w:p>
    <w:p>
      <w:pPr>
        <w:pStyle w:val="ListBullet"/>
      </w:pPr>
      <w:r>
        <w:t>Define document IDs and version numbering.</w:t>
      </w:r>
    </w:p>
    <w:p>
      <w:pPr>
        <w:pStyle w:val="ListBullet"/>
      </w:pPr>
      <w:r>
        <w:t>Name reviewers and approval authority for each procedure.</w:t>
      </w:r>
    </w:p>
    <w:p>
      <w:pPr>
        <w:pStyle w:val="ListBullet"/>
      </w:pPr>
      <w:r>
        <w:t>Choose the current-version location and archive access.</w:t>
      </w:r>
    </w:p>
    <w:p>
      <w:pPr>
        <w:pStyle w:val="ListBullet"/>
      </w:pPr>
      <w:r>
        <w:t>Specify when a change requires new training or a new demonstration.</w:t>
      </w:r>
    </w:p>
    <w:p>
      <w:r>
        <w:rPr>
          <w:color w:val="526174"/>
          <w:sz w:val="17"/>
        </w:rPr>
        <w:t>Pilot the adapted method with authorized personnel. Resolve gaps and record approval before independent use. This resource is not a certification or technical authorization.</w:t>
      </w:r>
    </w:p>
    <w:p>
      <w:pPr>
        <w:pStyle w:val="Heading1"/>
      </w:pPr>
      <w:r>
        <w:t>Worked example</w:t>
      </w:r>
    </w:p>
    <w:p>
      <w:r>
        <w:t>Example only: A tool change alters step 4. The author creates draft 1.1 and clears prior approval. Review identifies an affected checklist and demonstration. After approval, the lead replaces both links and records a supervised practice check. Version 1.0 remains archived and visibly superseded.</w:t>
      </w:r>
    </w:p>
    <w:p>
      <w:r>
        <w:br w:type="page"/>
      </w:r>
    </w:p>
    <w:p>
      <w:pPr>
        <w:spacing w:after="100"/>
      </w:pPr>
      <w:r>
        <w:rPr>
          <w:b/>
          <w:color w:val="096BC1"/>
          <w:sz w:val="16"/>
        </w:rPr>
        <w:t>METHOD  /  FIRST ACTIONS</w:t>
      </w:r>
    </w:p>
    <w:p>
      <w:pPr>
        <w:pStyle w:val="Heading1"/>
      </w:pPr>
      <w:r>
        <w:t>Procedure steps 1 to 4</w:t>
      </w:r>
    </w:p>
    <w:p>
      <w:pPr>
        <w:pStyle w:val="Heading2"/>
      </w:pPr>
      <w:r>
        <w:rPr>
          <w:b/>
          <w:color w:val="096BC1"/>
          <w:sz w:val="30"/>
        </w:rPr>
        <w:t xml:space="preserve">01  </w:t>
      </w:r>
      <w:r>
        <w:t>Log the change trigger</w:t>
      </w:r>
    </w:p>
    <w:p>
      <w:r>
        <w:t>Record what changed, why it matters and which procedure is affected. Identify whether the current version needs immediate restriction while the change is reviewed.</w:t>
      </w:r>
    </w:p>
    <w:p>
      <w:pPr>
        <w:spacing w:after="60"/>
      </w:pPr>
      <w:r>
        <w:rPr>
          <w:b/>
        </w:rPr>
        <w:t xml:space="preserve">Acceptance check: </w:t>
      </w:r>
      <w:r>
        <w:t>Change request names a process owner and a concrete issue.</w:t>
      </w:r>
    </w:p>
    <w:p>
      <w:pPr>
        <w:spacing w:after="180"/>
      </w:pPr>
      <w:r>
        <w:rPr>
          <w:b/>
        </w:rPr>
        <w:t xml:space="preserve">Record: </w:t>
      </w:r>
      <w:r>
        <w:t>Request, source version, reason and urgency.</w:t>
      </w:r>
    </w:p>
    <w:p>
      <w:pPr>
        <w:pStyle w:val="Heading2"/>
      </w:pPr>
      <w:r>
        <w:rPr>
          <w:b/>
          <w:color w:val="096BC1"/>
          <w:sz w:val="30"/>
        </w:rPr>
        <w:t xml:space="preserve">02  </w:t>
      </w:r>
      <w:r>
        <w:t>Create a separate draft</w:t>
      </w:r>
    </w:p>
    <w:p>
      <w:r>
        <w:t>Copy the current version into a draft with a new revision identifier. Clear inherited approval and effective-date fields so a prior signature cannot imply approval of changed work.</w:t>
      </w:r>
    </w:p>
    <w:p>
      <w:pPr>
        <w:spacing w:after="60"/>
      </w:pPr>
      <w:r>
        <w:rPr>
          <w:b/>
        </w:rPr>
        <w:t xml:space="preserve">Acceptance check: </w:t>
      </w:r>
      <w:r>
        <w:t>Draft is visibly distinct from the approved version.</w:t>
      </w:r>
    </w:p>
    <w:p>
      <w:pPr>
        <w:spacing w:after="180"/>
      </w:pPr>
      <w:r>
        <w:rPr>
          <w:b/>
        </w:rPr>
        <w:t xml:space="preserve">Record: </w:t>
      </w:r>
      <w:r>
        <w:t>Draft ID, source revision and author.</w:t>
      </w:r>
    </w:p>
    <w:p>
      <w:pPr>
        <w:pStyle w:val="Heading2"/>
      </w:pPr>
      <w:r>
        <w:rPr>
          <w:b/>
          <w:color w:val="096BC1"/>
          <w:sz w:val="30"/>
        </w:rPr>
        <w:t xml:space="preserve">03  </w:t>
      </w:r>
      <w:r>
        <w:t>Check against actual work</w:t>
      </w:r>
    </w:p>
    <w:p>
      <w:r>
        <w:t>Review the proposed sequence with a person authorized to perform it. Use a permitted demonstration or walkthrough and identify gaps in steps, outcomes and exceptions.</w:t>
      </w:r>
    </w:p>
    <w:p>
      <w:pPr>
        <w:spacing w:after="60"/>
      </w:pPr>
      <w:r>
        <w:rPr>
          <w:b/>
        </w:rPr>
        <w:t xml:space="preserve">Acceptance check: </w:t>
      </w:r>
      <w:r>
        <w:t>Revised instructions reflect observed or otherwise verified work.</w:t>
      </w:r>
    </w:p>
    <w:p>
      <w:pPr>
        <w:spacing w:after="180"/>
      </w:pPr>
      <w:r>
        <w:rPr>
          <w:b/>
        </w:rPr>
        <w:t xml:space="preserve">Record: </w:t>
      </w:r>
      <w:r>
        <w:t>Reviewer, review basis, gaps and corrections.</w:t>
      </w:r>
    </w:p>
    <w:p>
      <w:pPr>
        <w:pStyle w:val="Heading2"/>
      </w:pPr>
      <w:r>
        <w:rPr>
          <w:b/>
          <w:color w:val="096BC1"/>
          <w:sz w:val="30"/>
        </w:rPr>
        <w:t xml:space="preserve">04  </w:t>
      </w:r>
      <w:r>
        <w:t>Assess the effect on users</w:t>
      </w:r>
    </w:p>
    <w:p>
      <w:r>
        <w:t>List roles, tools, locations, checklists and training materials affected. Decide which changes need communication, supervised practice or a replacement demonstration.</w:t>
      </w:r>
    </w:p>
    <w:p>
      <w:pPr>
        <w:spacing w:after="60"/>
      </w:pPr>
      <w:r>
        <w:rPr>
          <w:b/>
        </w:rPr>
        <w:t xml:space="preserve">Acceptance check: </w:t>
      </w:r>
      <w:r>
        <w:t>The rollout plan covers affected users and dependent materials.</w:t>
      </w:r>
    </w:p>
    <w:p>
      <w:pPr>
        <w:spacing w:after="180"/>
      </w:pPr>
      <w:r>
        <w:rPr>
          <w:b/>
        </w:rPr>
        <w:t xml:space="preserve">Record: </w:t>
      </w:r>
      <w:r>
        <w:t>Impact list, communication and training actions.</w:t>
      </w:r>
    </w:p>
    <w:p>
      <w:r>
        <w:br w:type="page"/>
      </w:r>
    </w:p>
    <w:p>
      <w:pPr>
        <w:spacing w:after="100"/>
      </w:pPr>
      <w:r>
        <w:rPr>
          <w:b/>
          <w:color w:val="096BC1"/>
          <w:sz w:val="16"/>
        </w:rPr>
        <w:t>METHOD  /  COMPLETION AND EXCEPTIONS</w:t>
      </w:r>
    </w:p>
    <w:p>
      <w:pPr>
        <w:pStyle w:val="Heading1"/>
      </w:pPr>
      <w:r>
        <w:t>Complete the procedure</w:t>
      </w:r>
    </w:p>
    <w:p>
      <w:pPr>
        <w:pStyle w:val="Heading2"/>
      </w:pPr>
      <w:r>
        <w:rPr>
          <w:b/>
          <w:color w:val="096BC1"/>
          <w:sz w:val="30"/>
        </w:rPr>
        <w:t xml:space="preserve">05  </w:t>
      </w:r>
      <w:r>
        <w:t>Approve the effective version</w:t>
      </w:r>
    </w:p>
    <w:p>
      <w:r>
        <w:t>The named approver reviews the draft and records approval or required revisions. Set an effective date only after approval. Never invent a reviewer identity.</w:t>
      </w:r>
    </w:p>
    <w:p>
      <w:pPr>
        <w:spacing w:after="60"/>
      </w:pPr>
      <w:r>
        <w:rPr>
          <w:b/>
        </w:rPr>
        <w:t xml:space="preserve">Acceptance check: </w:t>
      </w:r>
      <w:r>
        <w:t>Version, approver and effective date are traceable.</w:t>
      </w:r>
    </w:p>
    <w:p>
      <w:pPr>
        <w:spacing w:after="180"/>
      </w:pPr>
      <w:r>
        <w:rPr>
          <w:b/>
        </w:rPr>
        <w:t xml:space="preserve">Record: </w:t>
      </w:r>
      <w:r>
        <w:t>Approval record and effective version.</w:t>
      </w:r>
    </w:p>
    <w:p>
      <w:pPr>
        <w:pStyle w:val="Heading2"/>
      </w:pPr>
      <w:r>
        <w:rPr>
          <w:b/>
          <w:color w:val="096BC1"/>
          <w:sz w:val="30"/>
        </w:rPr>
        <w:t xml:space="preserve">06  </w:t>
      </w:r>
      <w:r>
        <w:t>Replace access points</w:t>
      </w:r>
    </w:p>
    <w:p>
      <w:r>
        <w:t>Publish the approved version to the current-version location. Withdraw or clearly mark superseded printed and digital copies, including outdated video links.</w:t>
      </w:r>
    </w:p>
    <w:p>
      <w:pPr>
        <w:spacing w:after="60"/>
      </w:pPr>
      <w:r>
        <w:rPr>
          <w:b/>
        </w:rPr>
        <w:t xml:space="preserve">Acceptance check: </w:t>
      </w:r>
      <w:r>
        <w:t>Normal team access resolves to the effective revision.</w:t>
      </w:r>
    </w:p>
    <w:p>
      <w:pPr>
        <w:spacing w:after="180"/>
      </w:pPr>
      <w:r>
        <w:rPr>
          <w:b/>
        </w:rPr>
        <w:t xml:space="preserve">Record: </w:t>
      </w:r>
      <w:r>
        <w:t>Distribution check, archived version and replacement record.</w:t>
      </w:r>
    </w:p>
    <w:p>
      <w:pPr>
        <w:pStyle w:val="Heading2"/>
      </w:pPr>
      <w:r>
        <w:rPr>
          <w:b/>
          <w:color w:val="096BC1"/>
          <w:sz w:val="30"/>
        </w:rPr>
        <w:t xml:space="preserve">07  </w:t>
      </w:r>
      <w:r>
        <w:t>Confirm adoption and review</w:t>
      </w:r>
    </w:p>
    <w:p>
      <w:r>
        <w:t>Record communication and any required practice separately. Check that a sample of actual use follows the new version and schedule the next review or trigger.</w:t>
      </w:r>
    </w:p>
    <w:p>
      <w:pPr>
        <w:spacing w:after="60"/>
      </w:pPr>
      <w:r>
        <w:rPr>
          <w:b/>
        </w:rPr>
        <w:t xml:space="preserve">Acceptance check: </w:t>
      </w:r>
      <w:r>
        <w:t>Receipt, training and observed use are not conflated.</w:t>
      </w:r>
    </w:p>
    <w:p>
      <w:pPr>
        <w:spacing w:after="180"/>
      </w:pPr>
      <w:r>
        <w:rPr>
          <w:b/>
        </w:rPr>
        <w:t xml:space="preserve">Record: </w:t>
      </w:r>
      <w:r>
        <w:t>Communication, practice result, use check and review trigger.</w:t>
      </w:r>
    </w:p>
    <w:p>
      <w:pPr>
        <w:pStyle w:val="Heading1"/>
      </w:pPr>
      <w:r>
        <w:t>Exceptions and escalation</w:t>
      </w:r>
    </w:p>
    <w:p>
      <w:pPr>
        <w:keepNext/>
      </w:pPr>
      <w:r>
        <w:rPr>
          <w:b/>
          <w:color w:val="C75B24"/>
        </w:rPr>
        <w:t>Reviewer finds the new sequence incomplete</w:t>
      </w:r>
    </w:p>
    <w:p>
      <w:r>
        <w:t>Keep the draft out of normal use, assign the gap and repeat review before approval.</w:t>
      </w:r>
    </w:p>
    <w:p>
      <w:pPr>
        <w:keepNext/>
      </w:pPr>
      <w:r>
        <w:rPr>
          <w:b/>
          <w:color w:val="C75B24"/>
        </w:rPr>
        <w:t>Old printed copies remain in use</w:t>
      </w:r>
    </w:p>
    <w:p>
      <w:r>
        <w:t>Identify locations, replace copies and notify the team lead; record the correction.</w:t>
      </w:r>
    </w:p>
    <w:p>
      <w:pPr>
        <w:keepNext/>
      </w:pPr>
      <w:r>
        <w:rPr>
          <w:b/>
          <w:color w:val="C75B24"/>
        </w:rPr>
        <w:t>An urgent temporary method is needed</w:t>
      </w:r>
    </w:p>
    <w:p>
      <w:r>
        <w:t>Use the organization’s authorized temporary-change process with an owner and expiry; do not label an unapproved draft as permanent.</w:t>
      </w:r>
    </w:p>
    <w:p>
      <w:r>
        <w:br w:type="page"/>
      </w:r>
    </w:p>
    <w:p>
      <w:pPr>
        <w:spacing w:after="100"/>
      </w:pPr>
      <w:r>
        <w:rPr>
          <w:b/>
          <w:color w:val="096BC1"/>
          <w:sz w:val="16"/>
        </w:rPr>
        <w:t>WORKING RECORD  /  ADAPT TO YOUR SYSTEM</w:t>
      </w:r>
    </w:p>
    <w:p>
      <w:pPr>
        <w:pStyle w:val="Heading1"/>
      </w:pPr>
      <w:r>
        <w:t>Working record and review</w:t>
      </w:r>
    </w:p>
    <w:p>
      <w:r>
        <w:rPr>
          <w:color w:val="526174"/>
          <w:sz w:val="17"/>
        </w:rPr>
        <w:t>Complete this record for an actual use. Keep supporting evidence in your approved system; exclude passwords, access codes and unnecessary personal details.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FE6"/>
          <w:left w:val="single" w:sz="4" w:color="D9DFE6"/>
          <w:bottom w:val="single" w:sz="4" w:color="D9DFE6"/>
          <w:right w:val="single" w:sz="4" w:color="D9DFE6"/>
          <w:insideH w:val="single" w:sz="4" w:color="D9DFE6"/>
          <w:insideV w:val="single" w:sz="4" w:color="D9DFE6"/>
        </w:tblBorders>
        <w:tblCellMar>
          <w:top w:w="90" w:type="dxa"/>
          <w:bottom w:w="90" w:type="dxa"/>
          <w:left w:w="110" w:type="dxa"/>
          <w:right w:w="110" w:type="dxa"/>
        </w:tblCellMar>
      </w:tblPr>
      <w:tblGrid>
        <w:gridCol w:w="3672"/>
        <w:gridCol w:w="6552"/>
      </w:tblGrid>
      <w:tr>
        <w:trPr>
          <w:tblHeader/>
        </w:trPr>
        <w:tc>
          <w:tcPr>
            <w:tcW w:type="dxa" w:w="5112"/>
            <w:shd w:fill="122238"/>
          </w:tcPr>
          <w:p>
            <w:r>
              <w:rPr>
                <w:b/>
                <w:color w:val="FFFFFF"/>
                <w:sz w:val="17"/>
              </w:rPr>
              <w:t>RECORD FIELD</w:t>
            </w:r>
          </w:p>
        </w:tc>
        <w:tc>
          <w:tcPr>
            <w:tcW w:type="dxa" w:w="5112"/>
            <w:shd w:fill="122238"/>
          </w:tcPr>
          <w:p>
            <w:r>
              <w:rPr>
                <w:b/>
                <w:color w:val="FFFFFF"/>
                <w:sz w:val="17"/>
              </w:rPr>
              <w:t>ENTRY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center"/>
          </w:tcPr>
          <w:p>
            <w:pPr>
              <w:spacing w:after="20"/>
            </w:pPr>
            <w:r>
              <w:rPr>
                <w:color w:val="122238"/>
                <w:sz w:val="19"/>
              </w:rPr>
              <w:t>Job or session reference</w:t>
            </w:r>
          </w:p>
        </w:tc>
        <w:tc>
          <w:tcPr>
            <w:tcW w:type="dxa" w:w="6552"/>
            <w:vAlign w:val="center"/>
          </w:tcPr>
          <w:p>
            <w:pPr>
              <w:spacing w:after="20"/>
            </w:pPr>
            <w:r>
              <w:rPr>
                <w:color w:val="122238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3672"/>
            <w:vAlign w:val="center"/>
            <w:shd w:fill="F4F7FA"/>
          </w:tcPr>
          <w:p>
            <w:pPr>
              <w:spacing w:after="20"/>
            </w:pPr>
            <w:r>
              <w:rPr>
                <w:color w:val="122238"/>
                <w:sz w:val="19"/>
              </w:rPr>
              <w:t>Date and location</w:t>
            </w:r>
          </w:p>
        </w:tc>
        <w:tc>
          <w:tcPr>
            <w:tcW w:type="dxa" w:w="6552"/>
            <w:vAlign w:val="center"/>
            <w:shd w:fill="F4F7FA"/>
          </w:tcPr>
          <w:p>
            <w:pPr>
              <w:spacing w:after="20"/>
            </w:pPr>
            <w:r>
              <w:rPr>
                <w:color w:val="122238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3672"/>
            <w:vAlign w:val="center"/>
          </w:tcPr>
          <w:p>
            <w:pPr>
              <w:spacing w:after="20"/>
            </w:pPr>
            <w:r>
              <w:rPr>
                <w:color w:val="122238"/>
                <w:sz w:val="19"/>
              </w:rPr>
              <w:t>Outcome and limitations</w:t>
            </w:r>
          </w:p>
        </w:tc>
        <w:tc>
          <w:tcPr>
            <w:tcW w:type="dxa" w:w="6552"/>
            <w:vAlign w:val="center"/>
          </w:tcPr>
          <w:p>
            <w:pPr>
              <w:spacing w:after="20"/>
            </w:pPr>
            <w:r>
              <w:rPr>
                <w:color w:val="122238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3672"/>
            <w:vAlign w:val="center"/>
            <w:shd w:fill="F4F7FA"/>
          </w:tcPr>
          <w:p>
            <w:pPr>
              <w:spacing w:after="20"/>
            </w:pPr>
            <w:r>
              <w:rPr>
                <w:color w:val="122238"/>
                <w:sz w:val="19"/>
              </w:rPr>
              <w:t>Open action and next owner</w:t>
            </w:r>
          </w:p>
        </w:tc>
        <w:tc>
          <w:tcPr>
            <w:tcW w:type="dxa" w:w="6552"/>
            <w:vAlign w:val="center"/>
            <w:shd w:fill="F4F7FA"/>
          </w:tcPr>
          <w:p>
            <w:pPr>
              <w:spacing w:after="20"/>
            </w:pPr>
            <w:r>
              <w:rPr>
                <w:color w:val="122238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3672"/>
            <w:vAlign w:val="center"/>
          </w:tcPr>
          <w:p>
            <w:pPr>
              <w:spacing w:after="20"/>
            </w:pPr>
            <w:r>
              <w:rPr>
                <w:color w:val="122238"/>
                <w:sz w:val="19"/>
              </w:rPr>
              <w:t>Target date and recheck result</w:t>
            </w:r>
          </w:p>
        </w:tc>
        <w:tc>
          <w:tcPr>
            <w:tcW w:type="dxa" w:w="6552"/>
            <w:vAlign w:val="center"/>
          </w:tcPr>
          <w:p>
            <w:pPr>
              <w:spacing w:after="20"/>
            </w:pPr>
            <w:r>
              <w:rPr>
                <w:color w:val="122238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3672"/>
            <w:vAlign w:val="center"/>
            <w:shd w:fill="F4F7FA"/>
          </w:tcPr>
          <w:p>
            <w:pPr>
              <w:spacing w:after="20"/>
            </w:pPr>
            <w:r>
              <w:rPr>
                <w:color w:val="122238"/>
                <w:sz w:val="19"/>
              </w:rPr>
              <w:t>Prepared and reviewed by</w:t>
            </w:r>
          </w:p>
        </w:tc>
        <w:tc>
          <w:tcPr>
            <w:tcW w:type="dxa" w:w="6552"/>
            <w:vAlign w:val="center"/>
            <w:shd w:fill="F4F7FA"/>
          </w:tcPr>
          <w:p>
            <w:pPr>
              <w:spacing w:after="20"/>
            </w:pPr>
            <w:r>
              <w:rPr>
                <w:color w:val="122238"/>
                <w:sz w:val="19"/>
              </w:rPr>
            </w:r>
          </w:p>
        </w:tc>
      </w:tr>
    </w:tbl>
    <w:p>
      <w:pPr>
        <w:pStyle w:val="Heading1"/>
      </w:pPr>
      <w:r>
        <w:t>Final checks</w:t>
      </w:r>
    </w:p>
    <w:p>
      <w:pPr>
        <w:pStyle w:val="ListBullet"/>
      </w:pPr>
      <w:r>
        <w:t>Drafts do not inherit prior approvals.</w:t>
      </w:r>
    </w:p>
    <w:p>
      <w:pPr>
        <w:pStyle w:val="ListBullet"/>
      </w:pPr>
      <w:r>
        <w:t>The current-version link opens the intended effective revision.</w:t>
      </w:r>
    </w:p>
    <w:p>
      <w:pPr>
        <w:pStyle w:val="ListBullet"/>
      </w:pPr>
      <w:r>
        <w:t>Training attendance is distinct from evidence of correct use.</w:t>
      </w:r>
    </w:p>
    <w:p>
      <w:pPr>
        <w:pStyle w:val="Heading1"/>
      </w:pPr>
      <w:r>
        <w:t>Show the approved method</w:t>
      </w:r>
    </w:p>
    <w:p>
      <w:pPr>
        <w:pStyle w:val="ListBullet"/>
      </w:pPr>
      <w:r>
        <w:t>Record a dummy revision request and compare old and proposed steps.</w:t>
      </w:r>
    </w:p>
    <w:p>
      <w:pPr>
        <w:pStyle w:val="ListBullet"/>
      </w:pPr>
      <w:r>
        <w:t>Demonstrate how a reviewer checks the work against a permitted video.</w:t>
      </w:r>
    </w:p>
    <w:p>
      <w:pPr>
        <w:pStyle w:val="ListBullet"/>
      </w:pPr>
      <w:r>
        <w:t>Show replacement of the current-version link without exposing private documents.</w:t>
      </w:r>
    </w:p>
    <w:p>
      <w:r>
        <w:rPr>
          <w:color w:val="526174"/>
          <w:sz w:val="17"/>
        </w:rPr>
        <w:t>Record with permission, use dummy records and remove private details. Review any generated draft against the demonstration before team use. Check current access and video limits at vid2sop.com.</w:t>
      </w:r>
    </w:p>
    <w:p>
      <w:r>
        <w:rPr>
          <w:color w:val="526174"/>
          <w:sz w:val="17"/>
        </w:rPr>
        <w:t>Template source: https://vid2sop.com/sop-templates/sop-review-version-control-sop/</w:t>
      </w:r>
    </w:p>
    <w:p>
      <w:r>
        <w:rPr>
          <w:color w:val="526174"/>
          <w:sz w:val="17"/>
        </w:rPr>
        <w:t>Background references provide context, not endorsement: https://www.smartsheet.com/content/standard-operating-procedures-manual</w:t>
      </w:r>
    </w:p>
    <w:p>
      <w:r>
        <w:rPr>
          <w:color w:val="526174"/>
          <w:sz w:val="17"/>
        </w:rPr>
        <w:t>Use: adapt for your organization's internal operations, including paid service delivery. Do not resell unmodified library files as a competing template product. Brand and document layout refreshed; procedure text unchanged.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008" w:bottom="936" w:left="1008" w:header="389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224" w:val="right"/>
      </w:tabs>
    </w:pPr>
    <w:r>
      <w:rPr>
        <w:rFonts w:ascii="Arial" w:hAnsi="Arial"/>
        <w:color w:val="526174"/>
        <w:sz w:val="16"/>
      </w:rPr>
      <w:t>vid2sop.com  |  Template 1.1  |  Adapt and approve before use</w:t>
    </w:r>
    <w:r>
      <w:rPr>
        <w:sz w:val="16"/>
      </w:rPr>
      <w:tab/>
    </w:r>
    <w:fldSimple w:instr="PAGE">
      <w:r>
        <w:t>1</w:t>
      </w:r>
    </w:fldSimple>
    <w:r>
      <w:rPr>
        <w:sz w:val="16"/>
      </w:rPr>
      <w:t xml:space="preserve"> / </w:t>
    </w:r>
    <w:fldSimple w:instr="NUMPAGES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224" w:val="right"/>
      </w:tabs>
      <w:spacing w:after="0"/>
    </w:pPr>
    <w:r>
      <w:drawing>
        <wp:inline xmlns:a="http://schemas.openxmlformats.org/drawingml/2006/main" xmlns:pic="http://schemas.openxmlformats.org/drawingml/2006/picture">
          <wp:extent cx="393192" cy="393192"/>
          <wp:docPr id="1" name="Picture 1" descr="Vid2SOP approved video to procedure brand mark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rand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3192" cy="393192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/>
        <w:color w:val="122238"/>
        <w:sz w:val="36"/>
      </w:rPr>
      <w:t xml:space="preserve"> Vid</w:t>
    </w:r>
    <w:r>
      <w:rPr>
        <w:rFonts w:ascii="Arial" w:hAnsi="Arial"/>
        <w:b/>
        <w:color w:val="096BC1"/>
        <w:sz w:val="36"/>
      </w:rPr>
      <w:t>2</w:t>
    </w:r>
    <w:r>
      <w:rPr>
        <w:rFonts w:ascii="Arial" w:hAnsi="Arial"/>
        <w:b/>
        <w:color w:val="122238"/>
        <w:sz w:val="36"/>
      </w:rPr>
      <w:t>SOP</w:t>
    </w:r>
    <w:r>
      <w:rPr>
        <w:rFonts w:ascii="Arial" w:hAnsi="Arial"/>
        <w:b/>
        <w:color w:val="526174"/>
        <w:sz w:val="16"/>
      </w:rPr>
      <w:tab/>
      <w:t>OPERATIONS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12223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 Review and Version Control SOP</dc:title>
  <dc:subject>Editable operational template for organization adaptation and approval</dc:subject>
  <dc:creator>Vid2SOP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